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Times New Roman" w:hAnsi="Times New Roman" w:eastAsia="Times New Roman"/>
          <w:b/>
          <w:i w:val="0"/>
          <w:sz w:val="44"/>
        </w:rPr>
        <w:t>VZOR SMLOUVY</w:t>
      </w:r>
    </w:p>
    <w:p>
      <w:pPr>
        <w:jc w:val="center"/>
      </w:pPr>
      <w:r>
        <w:rPr>
          <w:rFonts w:ascii="Times New Roman" w:hAnsi="Times New Roman" w:eastAsia="Times New Roman"/>
          <w:b/>
          <w:i w:val="0"/>
          <w:sz w:val="32"/>
        </w:rPr>
        <w:t>o poskytování služeb správy</w:t>
      </w:r>
    </w:p>
    <w:p>
      <w:pPr>
        <w:spacing w:after="120"/>
        <w:jc w:val="center"/>
      </w:pPr>
      <w:r>
        <w:rPr>
          <w:rFonts w:ascii="Times New Roman" w:hAnsi="Times New Roman" w:eastAsia="Times New Roman"/>
          <w:b/>
          <w:i w:val="0"/>
          <w:sz w:val="28"/>
        </w:rPr>
        <w:t>Společenství vlastníků jednotek</w:t>
      </w:r>
    </w:p>
    <w:p>
      <w:pPr>
        <w:spacing w:after="480"/>
        <w:jc w:val="center"/>
      </w:pPr>
      <w:r>
        <w:rPr>
          <w:rFonts w:ascii="Times New Roman" w:hAnsi="Times New Roman" w:eastAsia="Times New Roman"/>
          <w:b w:val="0"/>
          <w:i/>
          <w:sz w:val="24"/>
        </w:rPr>
        <w:t>(správa domu a souvisejících služeb)</w:t>
      </w:r>
    </w:p>
    <w:p>
      <w:pPr>
        <w:spacing w:before="160" w:after="160"/>
        <w:jc w:val="center"/>
      </w:pPr>
      <w:r>
        <w:rPr>
          <w:rFonts w:ascii="Times New Roman" w:hAnsi="Times New Roman" w:eastAsia="Times New Roman"/>
          <w:b w:val="0"/>
          <w:i/>
          <w:color w:val="663300"/>
          <w:sz w:val="20"/>
        </w:rPr>
        <w:t>Vzor smlouvy – nezávazný návrh k posouzení; konkrétní podmínky se sjednávají individuálně.</w:t>
      </w:r>
    </w:p>
    <w:p>
      <w:pPr>
        <w:jc w:val="center"/>
        <w:pBdr>
          <w:bottom w:val="single" w:sz="12" w:space="1" w:color="1a365d"/>
        </w:pBdr>
      </w:pPr>
    </w:p>
    <w:p>
      <w:pPr>
        <w:spacing w:before="360"/>
        <w:jc w:val="center"/>
      </w:pPr>
      <w:r>
        <w:rPr>
          <w:rFonts w:ascii="Times New Roman" w:hAnsi="Times New Roman" w:eastAsia="Times New Roman"/>
          <w:b/>
          <w:i w:val="0"/>
          <w:color w:val="1A365D"/>
          <w:sz w:val="28"/>
        </w:rPr>
        <w:t>Profi Správce SVJ</w:t>
      </w:r>
    </w:p>
    <w:p>
      <w:pPr>
        <w:spacing w:after="480"/>
        <w:jc w:val="center"/>
      </w:pPr>
      <w:r>
        <w:rPr>
          <w:rFonts w:ascii="Times New Roman" w:hAnsi="Times New Roman" w:eastAsia="Times New Roman"/>
          <w:b w:val="0"/>
          <w:i/>
          <w:sz w:val="22"/>
        </w:rPr>
        <w:t>(ProfiSprávceSVJ)</w:t>
      </w:r>
    </w:p>
    <w:p>
      <w:pPr>
        <w:spacing w:after="360" w:before="0" w:line="276" w:lineRule="auto"/>
        <w:jc w:val="center"/>
      </w:pPr>
      <w:r>
        <w:rPr>
          <w:rFonts w:ascii="Times New Roman" w:hAnsi="Times New Roman" w:eastAsia="Times New Roman"/>
          <w:b w:val="0"/>
          <w:i/>
          <w:sz w:val="22"/>
        </w:rPr>
        <w:t>uzavřená podle ustanovení § 1746 odst. 2 a násl. zákona č. 89/2012 Sb., občanský zákoník, ve znění pozdějších předpisů (dále jen „občanský zákoník“), s přihlédnutím k úpravě společenství vlastníků jednotek podle § 1194 a násl. občanského zákoníku a souvisejících předpisů</w:t>
      </w:r>
    </w:p>
    <w:p>
      <w:pPr>
        <w:spacing w:before="240" w:after="120"/>
      </w:pPr>
      <w:r>
        <w:rPr>
          <w:rFonts w:ascii="Times New Roman" w:hAnsi="Times New Roman" w:eastAsia="Times New Roman"/>
          <w:b/>
          <w:i w:val="0"/>
          <w:sz w:val="24"/>
        </w:rPr>
        <w:t>Smluvní strany</w:t>
      </w:r>
    </w:p>
    <w:p>
      <w:pPr>
        <w:spacing w:after="40" w:line="276" w:lineRule="auto"/>
      </w:pPr>
      <w:r>
        <w:rPr>
          <w:rFonts w:ascii="Times New Roman" w:hAnsi="Times New Roman" w:eastAsia="Times New Roman"/>
          <w:b/>
          <w:i w:val="0"/>
          <w:sz w:val="22"/>
        </w:rPr>
        <w:t>Poskytovatel:</w:t>
      </w:r>
      <w:r>
        <w:rPr>
          <w:rFonts w:ascii="Times New Roman" w:hAnsi="Times New Roman" w:eastAsia="Times New Roman"/>
          <w:b w:val="0"/>
          <w:i w:val="0"/>
          <w:sz w:val="22"/>
        </w:rPr>
      </w:r>
    </w:p>
    <w:p>
      <w:pPr>
        <w:spacing w:after="40" w:before="0" w:line="276" w:lineRule="auto"/>
        <w:jc w:val="left"/>
      </w:pPr>
      <w:r>
        <w:rPr>
          <w:rFonts w:ascii="Times New Roman" w:hAnsi="Times New Roman" w:eastAsia="Times New Roman"/>
          <w:b/>
          <w:i w:val="0"/>
          <w:sz w:val="22"/>
        </w:rPr>
        <w:t>Bc. Martin Pohl</w:t>
      </w:r>
    </w:p>
    <w:p>
      <w:pPr>
        <w:spacing w:after="20" w:before="0" w:line="276" w:lineRule="auto"/>
        <w:jc w:val="left"/>
      </w:pPr>
      <w:r>
        <w:rPr>
          <w:rFonts w:ascii="Times New Roman" w:hAnsi="Times New Roman" w:eastAsia="Times New Roman"/>
          <w:b w:val="0"/>
          <w:i w:val="0"/>
          <w:sz w:val="22"/>
        </w:rPr>
        <w:t>IČO: 17256712</w:t>
      </w:r>
    </w:p>
    <w:p>
      <w:pPr>
        <w:spacing w:after="20" w:before="0" w:line="276" w:lineRule="auto"/>
        <w:jc w:val="left"/>
      </w:pPr>
      <w:r>
        <w:rPr>
          <w:rFonts w:ascii="Times New Roman" w:hAnsi="Times New Roman" w:eastAsia="Times New Roman"/>
          <w:b w:val="0"/>
          <w:i w:val="0"/>
          <w:sz w:val="22"/>
        </w:rPr>
        <w:t>Sídlo: Hrnčířská 221, Zdiměřice, 252 42 Jesenice</w:t>
      </w:r>
    </w:p>
    <w:p>
      <w:pPr>
        <w:spacing w:after="20" w:before="0" w:line="276" w:lineRule="auto"/>
        <w:jc w:val="left"/>
      </w:pPr>
      <w:r>
        <w:rPr>
          <w:rFonts w:ascii="Times New Roman" w:hAnsi="Times New Roman" w:eastAsia="Times New Roman"/>
          <w:b w:val="0"/>
          <w:i w:val="0"/>
          <w:sz w:val="22"/>
        </w:rPr>
        <w:t>Telefon: +420 777 441 416</w:t>
      </w:r>
    </w:p>
    <w:p>
      <w:pPr>
        <w:spacing w:after="20" w:before="0" w:line="276" w:lineRule="auto"/>
        <w:jc w:val="left"/>
      </w:pPr>
      <w:r>
        <w:rPr>
          <w:rFonts w:ascii="Times New Roman" w:hAnsi="Times New Roman" w:eastAsia="Times New Roman"/>
          <w:b w:val="0"/>
          <w:i w:val="0"/>
          <w:sz w:val="22"/>
        </w:rPr>
        <w:t>E-mail: svj@martinpohl.cz</w:t>
      </w:r>
    </w:p>
    <w:p>
      <w:pPr>
        <w:spacing w:after="20" w:before="0" w:line="276" w:lineRule="auto"/>
        <w:jc w:val="left"/>
      </w:pPr>
      <w:r>
        <w:rPr>
          <w:rFonts w:ascii="Times New Roman" w:hAnsi="Times New Roman" w:eastAsia="Times New Roman"/>
          <w:b w:val="0"/>
          <w:i w:val="0"/>
          <w:sz w:val="22"/>
        </w:rPr>
        <w:t>Obchodní označení služeb: Profi Správce SVJ (ProfiSprávceSVJ)</w:t>
      </w:r>
    </w:p>
    <w:p>
      <w:pPr>
        <w:spacing w:after="240" w:before="0" w:line="276" w:lineRule="auto"/>
        <w:jc w:val="left"/>
      </w:pPr>
      <w:r>
        <w:rPr>
          <w:rFonts w:ascii="Times New Roman" w:hAnsi="Times New Roman" w:eastAsia="Times New Roman"/>
          <w:b w:val="0"/>
          <w:i w:val="0"/>
          <w:sz w:val="22"/>
        </w:rPr>
        <w:t>Osoba samostatně výdělečně činná (OSVČ)</w:t>
      </w:r>
    </w:p>
    <w:p>
      <w:pPr>
        <w:spacing w:after="40" w:line="276" w:lineRule="auto"/>
      </w:pPr>
      <w:r>
        <w:rPr>
          <w:rFonts w:ascii="Times New Roman" w:hAnsi="Times New Roman" w:eastAsia="Times New Roman"/>
          <w:b/>
          <w:i w:val="0"/>
          <w:sz w:val="22"/>
        </w:rPr>
        <w:t>Objednatel:</w:t>
      </w:r>
    </w:p>
    <w:p>
      <w:pPr>
        <w:spacing w:after="40" w:before="0" w:line="276" w:lineRule="auto"/>
        <w:jc w:val="left"/>
      </w:pPr>
      <w:r>
        <w:rPr>
          <w:rFonts w:ascii="Times New Roman" w:hAnsi="Times New Roman" w:eastAsia="Times New Roman"/>
          <w:b/>
          <w:i w:val="0"/>
          <w:sz w:val="22"/>
        </w:rPr>
        <w:t>[název Společenství vlastníků jednotek]</w:t>
      </w:r>
    </w:p>
    <w:p>
      <w:pPr>
        <w:spacing w:after="20" w:before="0" w:line="276" w:lineRule="auto"/>
        <w:jc w:val="left"/>
      </w:pPr>
      <w:r>
        <w:rPr>
          <w:rFonts w:ascii="Times New Roman" w:hAnsi="Times New Roman" w:eastAsia="Times New Roman"/>
          <w:b w:val="0"/>
          <w:i w:val="0"/>
          <w:sz w:val="22"/>
        </w:rPr>
        <w:t>IČO: [doplnit]</w:t>
      </w:r>
    </w:p>
    <w:p>
      <w:pPr>
        <w:spacing w:after="20" w:before="0" w:line="276" w:lineRule="auto"/>
        <w:jc w:val="left"/>
      </w:pPr>
      <w:r>
        <w:rPr>
          <w:rFonts w:ascii="Times New Roman" w:hAnsi="Times New Roman" w:eastAsia="Times New Roman"/>
          <w:b w:val="0"/>
          <w:i w:val="0"/>
          <w:sz w:val="22"/>
        </w:rPr>
        <w:t>Sídlo: [doplnit]</w:t>
      </w:r>
    </w:p>
    <w:p>
      <w:pPr>
        <w:spacing w:after="360" w:before="0" w:line="276" w:lineRule="auto"/>
        <w:jc w:val="left"/>
      </w:pPr>
      <w:r>
        <w:rPr>
          <w:rFonts w:ascii="Times New Roman" w:hAnsi="Times New Roman" w:eastAsia="Times New Roman"/>
          <w:b w:val="0"/>
          <w:i w:val="0"/>
          <w:sz w:val="22"/>
        </w:rPr>
        <w:t>zastoupené výborem / statutárním orgánem</w:t>
      </w:r>
    </w:p>
    <w:p>
      <w:pPr>
        <w:spacing w:after="120" w:before="0" w:line="276" w:lineRule="auto"/>
        <w:jc w:val="center"/>
      </w:pPr>
      <w:r>
        <w:rPr>
          <w:rFonts w:ascii="Times New Roman" w:hAnsi="Times New Roman" w:eastAsia="Times New Roman"/>
          <w:b w:val="0"/>
          <w:i w:val="0"/>
          <w:sz w:val="22"/>
        </w:rPr>
        <w:t>Místo a datum: [místo], ke dni podpisu této smlouvy</w:t>
      </w:r>
    </w:p>
    <w:p>
      <w:pPr>
        <w:spacing w:after="120" w:before="0" w:line="276" w:lineRule="auto"/>
        <w:jc w:val="center"/>
      </w:pPr>
      <w:r>
        <w:rPr>
          <w:rFonts w:ascii="Times New Roman" w:hAnsi="Times New Roman" w:eastAsia="Times New Roman"/>
          <w:b w:val="0"/>
          <w:i/>
          <w:sz w:val="22"/>
        </w:rPr>
        <w:t>Účinnost: ke dni podpisu, nestanoví-li strany jinak v čl. 10</w:t>
      </w:r>
    </w:p>
    <w:p>
      <w:pPr>
        <w:spacing w:after="120" w:before="0" w:line="276" w:lineRule="auto"/>
        <w:jc w:val="center"/>
      </w:pPr>
      <w:r>
        <w:rPr>
          <w:rFonts w:ascii="Times New Roman" w:hAnsi="Times New Roman" w:eastAsia="Times New Roman"/>
          <w:b w:val="0"/>
          <w:i/>
          <w:sz w:val="22"/>
        </w:rPr>
        <w:t>Vzor smlouvy – nezávazný návrh k posouzení; konkrétní podmínky se sjednávají individuálně.</w:t>
      </w:r>
    </w:p>
    <w:p>
      <w:r>
        <w:br w:type="page"/>
      </w:r>
    </w:p>
    <w:p>
      <w:pPr>
        <w:spacing w:before="360" w:after="200"/>
      </w:pPr>
      <w:r>
        <w:rPr>
          <w:rFonts w:ascii="Times New Roman" w:hAnsi="Times New Roman" w:eastAsia="Times New Roman"/>
          <w:b/>
          <w:i w:val="0"/>
          <w:sz w:val="28"/>
        </w:rPr>
        <w:t>OBSAH</w:t>
      </w:r>
    </w:p>
    <w:p>
      <w:pPr>
        <w:spacing w:after="80"/>
      </w:pPr>
      <w:r>
        <w:rPr>
          <w:rFonts w:ascii="Times New Roman" w:hAnsi="Times New Roman" w:eastAsia="Times New Roman"/>
          <w:b w:val="0"/>
          <w:i w:val="0"/>
          <w:sz w:val="22"/>
        </w:rPr>
        <w:t>Článek 1 – Úvodní ustanovení a předmět smlouvy</w:t>
      </w:r>
    </w:p>
    <w:p>
      <w:pPr>
        <w:spacing w:after="80"/>
      </w:pPr>
      <w:r>
        <w:rPr>
          <w:rFonts w:ascii="Times New Roman" w:hAnsi="Times New Roman" w:eastAsia="Times New Roman"/>
          <w:b w:val="0"/>
          <w:i w:val="0"/>
          <w:sz w:val="22"/>
        </w:rPr>
        <w:t>Článek 2 – Definice pojmů</w:t>
      </w:r>
    </w:p>
    <w:p>
      <w:pPr>
        <w:spacing w:after="80"/>
      </w:pPr>
      <w:r>
        <w:rPr>
          <w:rFonts w:ascii="Times New Roman" w:hAnsi="Times New Roman" w:eastAsia="Times New Roman"/>
          <w:b w:val="0"/>
          <w:i w:val="0"/>
          <w:sz w:val="22"/>
        </w:rPr>
        <w:t>Článek 3 – Předmět a rozsah služeb</w:t>
      </w:r>
    </w:p>
    <w:p>
      <w:pPr>
        <w:spacing w:after="80"/>
      </w:pPr>
      <w:r>
        <w:rPr>
          <w:rFonts w:ascii="Times New Roman" w:hAnsi="Times New Roman" w:eastAsia="Times New Roman"/>
          <w:b w:val="0"/>
          <w:i w:val="0"/>
          <w:sz w:val="22"/>
        </w:rPr>
        <w:t>Článek 4 – Práva a povinnosti Poskytovatele</w:t>
      </w:r>
    </w:p>
    <w:p>
      <w:pPr>
        <w:spacing w:after="80"/>
      </w:pPr>
      <w:r>
        <w:rPr>
          <w:rFonts w:ascii="Times New Roman" w:hAnsi="Times New Roman" w:eastAsia="Times New Roman"/>
          <w:b w:val="0"/>
          <w:i w:val="0"/>
          <w:sz w:val="22"/>
        </w:rPr>
        <w:t>Článek 5 – Práva a povinnosti Objednatele</w:t>
      </w:r>
    </w:p>
    <w:p>
      <w:pPr>
        <w:spacing w:after="80"/>
      </w:pPr>
      <w:r>
        <w:rPr>
          <w:rFonts w:ascii="Times New Roman" w:hAnsi="Times New Roman" w:eastAsia="Times New Roman"/>
          <w:b w:val="0"/>
          <w:i w:val="0"/>
          <w:sz w:val="22"/>
        </w:rPr>
        <w:t>Článek 6 – Odměna, fakturace a platební podmínky</w:t>
      </w:r>
    </w:p>
    <w:p>
      <w:pPr>
        <w:spacing w:after="80"/>
      </w:pPr>
      <w:r>
        <w:rPr>
          <w:rFonts w:ascii="Times New Roman" w:hAnsi="Times New Roman" w:eastAsia="Times New Roman"/>
          <w:b w:val="0"/>
          <w:i w:val="0"/>
          <w:sz w:val="22"/>
        </w:rPr>
        <w:t>Článek 7 – SLA a kvalita služeb</w:t>
      </w:r>
    </w:p>
    <w:p>
      <w:pPr>
        <w:spacing w:after="80"/>
      </w:pPr>
      <w:r>
        <w:rPr>
          <w:rFonts w:ascii="Times New Roman" w:hAnsi="Times New Roman" w:eastAsia="Times New Roman"/>
          <w:b w:val="0"/>
          <w:i w:val="0"/>
          <w:sz w:val="22"/>
        </w:rPr>
        <w:t>Článek 8 – Odpovědnost, pojištění a škody</w:t>
      </w:r>
    </w:p>
    <w:p>
      <w:pPr>
        <w:spacing w:after="80"/>
      </w:pPr>
      <w:r>
        <w:rPr>
          <w:rFonts w:ascii="Times New Roman" w:hAnsi="Times New Roman" w:eastAsia="Times New Roman"/>
          <w:b w:val="0"/>
          <w:i w:val="0"/>
          <w:sz w:val="22"/>
        </w:rPr>
        <w:t>Článek 9 – Důvěrnost a ochrana osobních údajů (GDPR)</w:t>
      </w:r>
    </w:p>
    <w:p>
      <w:pPr>
        <w:spacing w:after="80"/>
      </w:pPr>
      <w:r>
        <w:rPr>
          <w:rFonts w:ascii="Times New Roman" w:hAnsi="Times New Roman" w:eastAsia="Times New Roman"/>
          <w:b w:val="0"/>
          <w:i w:val="0"/>
          <w:sz w:val="22"/>
        </w:rPr>
        <w:t>Článek 10 – Doba trvání, výpověď a odstoupení</w:t>
      </w:r>
    </w:p>
    <w:p>
      <w:pPr>
        <w:spacing w:after="80"/>
      </w:pPr>
      <w:r>
        <w:rPr>
          <w:rFonts w:ascii="Times New Roman" w:hAnsi="Times New Roman" w:eastAsia="Times New Roman"/>
          <w:b w:val="0"/>
          <w:i w:val="0"/>
          <w:sz w:val="22"/>
        </w:rPr>
        <w:t>Článek 11 – Předání agendy</w:t>
      </w:r>
    </w:p>
    <w:p>
      <w:pPr>
        <w:spacing w:after="80"/>
      </w:pPr>
      <w:r>
        <w:rPr>
          <w:rFonts w:ascii="Times New Roman" w:hAnsi="Times New Roman" w:eastAsia="Times New Roman"/>
          <w:b w:val="0"/>
          <w:i w:val="0"/>
          <w:sz w:val="22"/>
        </w:rPr>
        <w:t>Článek 12 – Závěrečná ustanovení</w:t>
      </w:r>
    </w:p>
    <w:p>
      <w:pPr>
        <w:spacing w:after="80"/>
      </w:pPr>
      <w:r>
        <w:rPr>
          <w:rFonts w:ascii="Times New Roman" w:hAnsi="Times New Roman" w:eastAsia="Times New Roman"/>
          <w:b w:val="0"/>
          <w:i w:val="0"/>
          <w:sz w:val="22"/>
        </w:rPr>
        <w:t>Podpisy smluvních stran</w:t>
      </w:r>
    </w:p>
    <w:p>
      <w:pPr>
        <w:spacing w:after="80"/>
      </w:pPr>
      <w:r>
        <w:rPr>
          <w:rFonts w:ascii="Times New Roman" w:hAnsi="Times New Roman" w:eastAsia="Times New Roman"/>
          <w:b w:val="0"/>
          <w:i w:val="0"/>
          <w:sz w:val="22"/>
        </w:rPr>
        <w:t>Příloha 1 – Rozsah služeb</w:t>
      </w:r>
    </w:p>
    <w:p>
      <w:pPr>
        <w:spacing w:after="80"/>
      </w:pPr>
      <w:r>
        <w:rPr>
          <w:rFonts w:ascii="Times New Roman" w:hAnsi="Times New Roman" w:eastAsia="Times New Roman"/>
          <w:b w:val="0"/>
          <w:i w:val="0"/>
          <w:sz w:val="22"/>
        </w:rPr>
        <w:t>Příloha 2 – SLA – úrovně služeb a reakční doby</w:t>
      </w:r>
    </w:p>
    <w:p>
      <w:pPr>
        <w:spacing w:after="80"/>
      </w:pPr>
      <w:r>
        <w:rPr>
          <w:rFonts w:ascii="Times New Roman" w:hAnsi="Times New Roman" w:eastAsia="Times New Roman"/>
          <w:b w:val="0"/>
          <w:i w:val="0"/>
          <w:sz w:val="22"/>
        </w:rPr>
        <w:t>Příloha 3 – Zpracování osobních údajů (GDPR)</w:t>
      </w:r>
    </w:p>
    <w:p>
      <w:pPr>
        <w:spacing w:after="80"/>
      </w:pPr>
      <w:r>
        <w:rPr>
          <w:rFonts w:ascii="Times New Roman" w:hAnsi="Times New Roman" w:eastAsia="Times New Roman"/>
          <w:b w:val="0"/>
          <w:i w:val="0"/>
          <w:sz w:val="22"/>
        </w:rPr>
        <w:t>Příloha 4 – Předávací protokol</w:t>
      </w:r>
    </w:p>
    <w:p>
      <w:pPr>
        <w:spacing w:after="80"/>
      </w:pPr>
      <w:r>
        <w:rPr>
          <w:rFonts w:ascii="Times New Roman" w:hAnsi="Times New Roman" w:eastAsia="Times New Roman"/>
          <w:b w:val="0"/>
          <w:i w:val="0"/>
          <w:sz w:val="22"/>
        </w:rPr>
        <w:t>Příloha 5 – Ceník služeb</w:t>
      </w:r>
    </w:p>
    <w:p>
      <w:pPr>
        <w:spacing w:after="80"/>
      </w:pPr>
      <w:r>
        <w:rPr>
          <w:rFonts w:ascii="Times New Roman" w:hAnsi="Times New Roman" w:eastAsia="Times New Roman"/>
          <w:b w:val="0"/>
          <w:i w:val="0"/>
          <w:sz w:val="22"/>
        </w:rPr>
        <w:t>Příloha 6 – Vzor vyúčtování služeb (orientační)</w:t>
      </w:r>
    </w:p>
    <w:p>
      <w:pPr>
        <w:spacing w:after="240" w:before="0" w:line="276" w:lineRule="auto"/>
        <w:jc w:val="both"/>
      </w:pPr>
      <w:r>
        <w:rPr>
          <w:rFonts w:ascii="Times New Roman" w:hAnsi="Times New Roman" w:eastAsia="Times New Roman"/>
          <w:b w:val="0"/>
          <w:i/>
          <w:sz w:val="22"/>
        </w:rPr>
        <w:t>Přílohy č. 1 až 6 tvoří nedílnou součást této smlouvy.</w:t>
      </w:r>
    </w:p>
    <w:p>
      <w:r>
        <w:br w:type="page"/>
      </w:r>
    </w:p>
    <w:p>
      <w:pPr>
        <w:spacing w:before="360" w:after="200"/>
      </w:pPr>
      <w:r>
        <w:rPr>
          <w:rFonts w:ascii="Times New Roman" w:hAnsi="Times New Roman" w:eastAsia="Times New Roman"/>
          <w:b/>
          <w:i w:val="0"/>
          <w:sz w:val="28"/>
        </w:rPr>
        <w:t>Článek 1 – Úvodní ustanovení a předmět smlouvy</w:t>
      </w:r>
    </w:p>
    <w:p>
      <w:pPr>
        <w:spacing w:after="80" w:before="40"/>
        <w:ind w:left="283"/>
        <w:jc w:val="both"/>
      </w:pPr>
      <w:r>
        <w:rPr>
          <w:rFonts w:ascii="Times New Roman" w:hAnsi="Times New Roman" w:eastAsia="Times New Roman"/>
          <w:b/>
          <w:i w:val="0"/>
          <w:sz w:val="22"/>
        </w:rPr>
        <w:t xml:space="preserve">1.1  </w:t>
      </w:r>
      <w:r>
        <w:rPr>
          <w:rFonts w:ascii="Times New Roman" w:hAnsi="Times New Roman" w:eastAsia="Times New Roman"/>
          <w:b w:val="0"/>
          <w:i w:val="0"/>
          <w:sz w:val="22"/>
        </w:rPr>
        <w:t>Poskytovatel prohlašuje, že je osobou oprávněnou k podnikání a k poskytování služeb správy nemovitostí a souvisejících administrativních a technických služeb, a že disponuje potřebnými odbornými znalostmi a kapacitami pro řádné plnění této smlouvy.</w:t>
      </w:r>
    </w:p>
    <w:p>
      <w:pPr>
        <w:spacing w:after="80" w:before="40"/>
        <w:ind w:left="283"/>
        <w:jc w:val="both"/>
      </w:pPr>
      <w:r>
        <w:rPr>
          <w:rFonts w:ascii="Times New Roman" w:hAnsi="Times New Roman" w:eastAsia="Times New Roman"/>
          <w:b/>
          <w:i w:val="0"/>
          <w:sz w:val="22"/>
        </w:rPr>
        <w:t xml:space="preserve">1.2  </w:t>
      </w:r>
      <w:r>
        <w:rPr>
          <w:rFonts w:ascii="Times New Roman" w:hAnsi="Times New Roman" w:eastAsia="Times New Roman"/>
          <w:b w:val="0"/>
          <w:i w:val="0"/>
          <w:sz w:val="22"/>
        </w:rPr>
        <w:t>Objednatel prohlašuje, že je společenstvím vlastníků jednotek zřízeným podle právních předpisů České republiky, že jeho existence a zastupování výborem odpovídají stanovám a zápisu ve veřejném rejstříku, a že uzavření této smlouvy bylo řádně schváleno příslušným orgánem Objednatele v souladu se stanovami.</w:t>
      </w:r>
    </w:p>
    <w:p>
      <w:pPr>
        <w:spacing w:after="80" w:before="40"/>
        <w:ind w:left="283"/>
        <w:jc w:val="both"/>
      </w:pPr>
      <w:r>
        <w:rPr>
          <w:rFonts w:ascii="Times New Roman" w:hAnsi="Times New Roman" w:eastAsia="Times New Roman"/>
          <w:b/>
          <w:i w:val="0"/>
          <w:sz w:val="22"/>
        </w:rPr>
        <w:t xml:space="preserve">1.3  </w:t>
      </w:r>
      <w:r>
        <w:rPr>
          <w:rFonts w:ascii="Times New Roman" w:hAnsi="Times New Roman" w:eastAsia="Times New Roman"/>
          <w:b w:val="0"/>
          <w:i w:val="0"/>
          <w:sz w:val="22"/>
        </w:rPr>
        <w:t>Předmětem této smlouvy je závazek Poskytovatele poskytovat Objednateli služby správy domu a správy Společenství vlastníků jednotek (dále jen „Služby“) v rozsahu stanoveném touto smlouvou a její Přílohou č. 1, a závazek Objednatele za řádně poskytnuté Služby hradit Poskytovateli sjednanou odměnu podle čl. 6 a Přílohy č. 5.</w:t>
      </w:r>
    </w:p>
    <w:p>
      <w:pPr>
        <w:spacing w:after="80" w:before="40"/>
        <w:ind w:left="283"/>
        <w:jc w:val="both"/>
      </w:pPr>
      <w:r>
        <w:rPr>
          <w:rFonts w:ascii="Times New Roman" w:hAnsi="Times New Roman" w:eastAsia="Times New Roman"/>
          <w:b/>
          <w:i w:val="0"/>
          <w:sz w:val="22"/>
        </w:rPr>
        <w:t xml:space="preserve">1.4  </w:t>
      </w:r>
      <w:r>
        <w:rPr>
          <w:rFonts w:ascii="Times New Roman" w:hAnsi="Times New Roman" w:eastAsia="Times New Roman"/>
          <w:b w:val="0"/>
          <w:i w:val="0"/>
          <w:sz w:val="22"/>
        </w:rPr>
        <w:t>Služby jsou poskytovány ve vztahu k domu na adrese [adresa domu] , včetně společných částí domu a pozemků ve správě Objednatele, nestanoví-li tato smlouva nebo písemná dohoda stran jinak.</w:t>
      </w:r>
    </w:p>
    <w:p>
      <w:pPr>
        <w:spacing w:after="80" w:before="40"/>
        <w:ind w:left="283"/>
        <w:jc w:val="both"/>
      </w:pPr>
      <w:r>
        <w:rPr>
          <w:rFonts w:ascii="Times New Roman" w:hAnsi="Times New Roman" w:eastAsia="Times New Roman"/>
          <w:b/>
          <w:i w:val="0"/>
          <w:sz w:val="22"/>
        </w:rPr>
        <w:t xml:space="preserve">1.5  </w:t>
      </w:r>
      <w:r>
        <w:rPr>
          <w:rFonts w:ascii="Times New Roman" w:hAnsi="Times New Roman" w:eastAsia="Times New Roman"/>
          <w:b w:val="0"/>
          <w:i w:val="0"/>
          <w:sz w:val="22"/>
        </w:rPr>
        <w:t>Tato smlouva se řídí právním řádem České republiky, zejména občanským zákoníkem a stanovami Objednatele. Poskytovatel jedná při výkonu správy s odbornou péčí a v souladu s pokyny Objednatele, které nejsou v rozporu s právními předpisy nebo stanovami.</w:t>
      </w:r>
    </w:p>
    <w:p>
      <w:pPr>
        <w:spacing w:before="360" w:after="200"/>
      </w:pPr>
      <w:r>
        <w:rPr>
          <w:rFonts w:ascii="Times New Roman" w:hAnsi="Times New Roman" w:eastAsia="Times New Roman"/>
          <w:b/>
          <w:i w:val="0"/>
          <w:sz w:val="28"/>
        </w:rPr>
        <w:t>Článek 2 – Definice pojmů</w:t>
      </w:r>
    </w:p>
    <w:p>
      <w:pPr>
        <w:spacing w:after="160" w:before="0" w:line="276" w:lineRule="auto"/>
        <w:jc w:val="both"/>
      </w:pPr>
      <w:r>
        <w:rPr>
          <w:rFonts w:ascii="Times New Roman" w:hAnsi="Times New Roman" w:eastAsia="Times New Roman"/>
          <w:b w:val="0"/>
          <w:i w:val="0"/>
          <w:sz w:val="22"/>
        </w:rPr>
        <w:t>Pro účely této smlouvy mají níže uvedené pojmy následující význam, neurčuje-li kontext jinak:</w:t>
      </w:r>
    </w:p>
    <w:p>
      <w:pPr>
        <w:spacing w:after="80" w:line="276" w:lineRule="auto"/>
        <w:jc w:val="both"/>
      </w:pPr>
      <w:r>
        <w:rPr>
          <w:rFonts w:ascii="Times New Roman" w:hAnsi="Times New Roman" w:eastAsia="Times New Roman"/>
          <w:b/>
          <w:i w:val="0"/>
          <w:sz w:val="22"/>
        </w:rPr>
        <w:t xml:space="preserve">„Smlouva“ </w:t>
      </w:r>
      <w:r>
        <w:rPr>
          <w:rFonts w:ascii="Times New Roman" w:hAnsi="Times New Roman" w:eastAsia="Times New Roman"/>
          <w:b w:val="0"/>
          <w:i w:val="0"/>
          <w:sz w:val="22"/>
        </w:rPr>
        <w:t>znamená tato smlouva o poskytování služeb správy SVJ včetně všech jejích příloh a případných dodatků.</w:t>
      </w:r>
    </w:p>
    <w:p>
      <w:pPr>
        <w:spacing w:after="80" w:line="276" w:lineRule="auto"/>
        <w:jc w:val="both"/>
      </w:pPr>
      <w:r>
        <w:rPr>
          <w:rFonts w:ascii="Times New Roman" w:hAnsi="Times New Roman" w:eastAsia="Times New Roman"/>
          <w:b/>
          <w:i w:val="0"/>
          <w:sz w:val="22"/>
        </w:rPr>
        <w:t xml:space="preserve">„Poskytovatel“ </w:t>
      </w:r>
      <w:r>
        <w:rPr>
          <w:rFonts w:ascii="Times New Roman" w:hAnsi="Times New Roman" w:eastAsia="Times New Roman"/>
          <w:b w:val="0"/>
          <w:i w:val="0"/>
          <w:sz w:val="22"/>
        </w:rPr>
        <w:t>znamená Bc. Martin Pohl, IČO 17256712, podnikající pod označením služeb Profi Správce SVJ.</w:t>
      </w:r>
    </w:p>
    <w:p>
      <w:pPr>
        <w:spacing w:after="80" w:line="276" w:lineRule="auto"/>
        <w:jc w:val="both"/>
      </w:pPr>
      <w:r>
        <w:rPr>
          <w:rFonts w:ascii="Times New Roman" w:hAnsi="Times New Roman" w:eastAsia="Times New Roman"/>
          <w:b/>
          <w:i w:val="0"/>
          <w:sz w:val="22"/>
        </w:rPr>
        <w:t xml:space="preserve">„Objednatel“ nebo „SVJ“ </w:t>
      </w:r>
      <w:r>
        <w:rPr>
          <w:rFonts w:ascii="Times New Roman" w:hAnsi="Times New Roman" w:eastAsia="Times New Roman"/>
          <w:b w:val="0"/>
          <w:i w:val="0"/>
          <w:sz w:val="22"/>
        </w:rPr>
        <w:t>znamená [název Společenství vlastníků jednotek], IČO: [doplnit].</w:t>
      </w:r>
    </w:p>
    <w:p>
      <w:pPr>
        <w:spacing w:after="80" w:line="276" w:lineRule="auto"/>
        <w:jc w:val="both"/>
      </w:pPr>
      <w:r>
        <w:rPr>
          <w:rFonts w:ascii="Times New Roman" w:hAnsi="Times New Roman" w:eastAsia="Times New Roman"/>
          <w:b/>
          <w:i w:val="0"/>
          <w:sz w:val="22"/>
        </w:rPr>
        <w:t xml:space="preserve">„Výbor“ </w:t>
      </w:r>
      <w:r>
        <w:rPr>
          <w:rFonts w:ascii="Times New Roman" w:hAnsi="Times New Roman" w:eastAsia="Times New Roman"/>
          <w:b w:val="0"/>
          <w:i w:val="0"/>
          <w:sz w:val="22"/>
        </w:rPr>
        <w:t>znamená výbor Objednatele jako statutární orgán, popř. jiný orgán oprávněný zastupovat Objednatele podle stanov.</w:t>
      </w:r>
    </w:p>
    <w:p>
      <w:pPr>
        <w:spacing w:after="80" w:line="276" w:lineRule="auto"/>
        <w:jc w:val="both"/>
      </w:pPr>
      <w:r>
        <w:rPr>
          <w:rFonts w:ascii="Times New Roman" w:hAnsi="Times New Roman" w:eastAsia="Times New Roman"/>
          <w:b/>
          <w:i w:val="0"/>
          <w:sz w:val="22"/>
        </w:rPr>
        <w:t xml:space="preserve">„Služby“ </w:t>
      </w:r>
      <w:r>
        <w:rPr>
          <w:rFonts w:ascii="Times New Roman" w:hAnsi="Times New Roman" w:eastAsia="Times New Roman"/>
          <w:b w:val="0"/>
          <w:i w:val="0"/>
          <w:sz w:val="22"/>
        </w:rPr>
        <w:t>znamená činnosti správy domu a správy SVJ specifikované v Příloze č. 1 a poskytované podle této smlouvy.</w:t>
      </w:r>
    </w:p>
    <w:p>
      <w:pPr>
        <w:spacing w:after="80" w:line="276" w:lineRule="auto"/>
        <w:jc w:val="both"/>
      </w:pPr>
      <w:r>
        <w:rPr>
          <w:rFonts w:ascii="Times New Roman" w:hAnsi="Times New Roman" w:eastAsia="Times New Roman"/>
          <w:b/>
          <w:i w:val="0"/>
          <w:sz w:val="22"/>
        </w:rPr>
        <w:t xml:space="preserve">„SLA“ </w:t>
      </w:r>
      <w:r>
        <w:rPr>
          <w:rFonts w:ascii="Times New Roman" w:hAnsi="Times New Roman" w:eastAsia="Times New Roman"/>
          <w:b w:val="0"/>
          <w:i w:val="0"/>
          <w:sz w:val="22"/>
        </w:rPr>
        <w:t>znamená dohodnuté úrovně služeb, reakční doby a způsoby eskalace podle Přílohy č. 2.</w:t>
      </w:r>
    </w:p>
    <w:p>
      <w:pPr>
        <w:spacing w:after="80" w:line="276" w:lineRule="auto"/>
        <w:jc w:val="both"/>
      </w:pPr>
      <w:r>
        <w:rPr>
          <w:rFonts w:ascii="Times New Roman" w:hAnsi="Times New Roman" w:eastAsia="Times New Roman"/>
          <w:b/>
          <w:i w:val="0"/>
          <w:sz w:val="22"/>
        </w:rPr>
        <w:t xml:space="preserve">„Vlastník“ </w:t>
      </w:r>
      <w:r>
        <w:rPr>
          <w:rFonts w:ascii="Times New Roman" w:hAnsi="Times New Roman" w:eastAsia="Times New Roman"/>
          <w:b w:val="0"/>
          <w:i w:val="0"/>
          <w:sz w:val="22"/>
        </w:rPr>
        <w:t>znamená vlastník jednotky v domě spravovaném Objednatelem.</w:t>
      </w:r>
    </w:p>
    <w:p>
      <w:pPr>
        <w:spacing w:after="80" w:line="276" w:lineRule="auto"/>
        <w:jc w:val="both"/>
      </w:pPr>
      <w:r>
        <w:rPr>
          <w:rFonts w:ascii="Times New Roman" w:hAnsi="Times New Roman" w:eastAsia="Times New Roman"/>
          <w:b/>
          <w:i w:val="0"/>
          <w:sz w:val="22"/>
        </w:rPr>
        <w:t xml:space="preserve">„Havárie“ </w:t>
      </w:r>
      <w:r>
        <w:rPr>
          <w:rFonts w:ascii="Times New Roman" w:hAnsi="Times New Roman" w:eastAsia="Times New Roman"/>
          <w:b w:val="0"/>
          <w:i w:val="0"/>
          <w:sz w:val="22"/>
        </w:rPr>
        <w:t>znamená náhlá událost ohrožující zdraví, majetek nebo podstatně omezující užívání domu či jednotek (např. únik vody, výpadek klíčových technologií, požár), vyžadující okamžitý zásah.</w:t>
      </w:r>
    </w:p>
    <w:p>
      <w:pPr>
        <w:spacing w:after="80" w:line="276" w:lineRule="auto"/>
        <w:jc w:val="both"/>
      </w:pPr>
      <w:r>
        <w:rPr>
          <w:rFonts w:ascii="Times New Roman" w:hAnsi="Times New Roman" w:eastAsia="Times New Roman"/>
          <w:b/>
          <w:i w:val="0"/>
          <w:sz w:val="22"/>
        </w:rPr>
        <w:t xml:space="preserve">„Běžný požadavek“ </w:t>
      </w:r>
      <w:r>
        <w:rPr>
          <w:rFonts w:ascii="Times New Roman" w:hAnsi="Times New Roman" w:eastAsia="Times New Roman"/>
          <w:b w:val="0"/>
          <w:i w:val="0"/>
          <w:sz w:val="22"/>
        </w:rPr>
        <w:t>znamená požadavek, který není havárií ani jinou urgentní záležitostí podle SLA.</w:t>
      </w:r>
    </w:p>
    <w:p>
      <w:pPr>
        <w:spacing w:after="80" w:line="276" w:lineRule="auto"/>
        <w:jc w:val="both"/>
      </w:pPr>
      <w:r>
        <w:rPr>
          <w:rFonts w:ascii="Times New Roman" w:hAnsi="Times New Roman" w:eastAsia="Times New Roman"/>
          <w:b/>
          <w:i w:val="0"/>
          <w:sz w:val="22"/>
        </w:rPr>
        <w:t xml:space="preserve">„Předávací protokol“ </w:t>
      </w:r>
      <w:r>
        <w:rPr>
          <w:rFonts w:ascii="Times New Roman" w:hAnsi="Times New Roman" w:eastAsia="Times New Roman"/>
          <w:b w:val="0"/>
          <w:i w:val="0"/>
          <w:sz w:val="22"/>
        </w:rPr>
        <w:t>znamená protokol o předání a převzetí agendy podle Přílohy č. 4.</w:t>
      </w:r>
    </w:p>
    <w:p>
      <w:pPr>
        <w:spacing w:after="80" w:line="276" w:lineRule="auto"/>
        <w:jc w:val="both"/>
      </w:pPr>
      <w:r>
        <w:rPr>
          <w:rFonts w:ascii="Times New Roman" w:hAnsi="Times New Roman" w:eastAsia="Times New Roman"/>
          <w:b/>
          <w:i w:val="0"/>
          <w:sz w:val="22"/>
        </w:rPr>
        <w:t xml:space="preserve">„Ceník“ </w:t>
      </w:r>
      <w:r>
        <w:rPr>
          <w:rFonts w:ascii="Times New Roman" w:hAnsi="Times New Roman" w:eastAsia="Times New Roman"/>
          <w:b w:val="0"/>
          <w:i w:val="0"/>
          <w:sz w:val="22"/>
        </w:rPr>
        <w:t>znamená ceník odměn a volitelných služeb podle Přílohy č. 5.</w:t>
      </w:r>
    </w:p>
    <w:p>
      <w:pPr>
        <w:spacing w:after="80" w:line="276" w:lineRule="auto"/>
        <w:jc w:val="both"/>
      </w:pPr>
      <w:r>
        <w:rPr>
          <w:rFonts w:ascii="Times New Roman" w:hAnsi="Times New Roman" w:eastAsia="Times New Roman"/>
          <w:b/>
          <w:i w:val="0"/>
          <w:sz w:val="22"/>
        </w:rPr>
        <w:t xml:space="preserve">„Vzor vyúčtování“ </w:t>
      </w:r>
      <w:r>
        <w:rPr>
          <w:rFonts w:ascii="Times New Roman" w:hAnsi="Times New Roman" w:eastAsia="Times New Roman"/>
          <w:b w:val="0"/>
          <w:i w:val="0"/>
          <w:sz w:val="22"/>
        </w:rPr>
        <w:t>znamená orientační struktura vyúčtování služeb spojených s užíváním jednotek podle Přílohy č. 6.</w:t>
      </w:r>
    </w:p>
    <w:p>
      <w:pPr>
        <w:spacing w:after="80" w:line="276" w:lineRule="auto"/>
        <w:jc w:val="both"/>
      </w:pPr>
      <w:r>
        <w:rPr>
          <w:rFonts w:ascii="Times New Roman" w:hAnsi="Times New Roman" w:eastAsia="Times New Roman"/>
          <w:b/>
          <w:i w:val="0"/>
          <w:sz w:val="22"/>
        </w:rPr>
        <w:t xml:space="preserve">„GDPR“ </w:t>
      </w:r>
      <w:r>
        <w:rPr>
          <w:rFonts w:ascii="Times New Roman" w:hAnsi="Times New Roman" w:eastAsia="Times New Roman"/>
          <w:b w:val="0"/>
          <w:i w:val="0"/>
          <w:sz w:val="22"/>
        </w:rPr>
        <w:t>znamená nařízení Evropského parlamentu a Rady (EU) 2016/679 a související české právní předpisy o ochraně osobních údajů.</w:t>
      </w:r>
    </w:p>
    <w:p>
      <w:pPr>
        <w:spacing w:before="360" w:after="200"/>
      </w:pPr>
      <w:r>
        <w:rPr>
          <w:rFonts w:ascii="Times New Roman" w:hAnsi="Times New Roman" w:eastAsia="Times New Roman"/>
          <w:b/>
          <w:i w:val="0"/>
          <w:sz w:val="28"/>
        </w:rPr>
        <w:t>Článek 3 – Předmět a rozsah služeb</w:t>
      </w:r>
    </w:p>
    <w:p>
      <w:pPr>
        <w:spacing w:after="80" w:before="40"/>
        <w:ind w:left="283"/>
        <w:jc w:val="both"/>
      </w:pPr>
      <w:r>
        <w:rPr>
          <w:rFonts w:ascii="Times New Roman" w:hAnsi="Times New Roman" w:eastAsia="Times New Roman"/>
          <w:b/>
          <w:i w:val="0"/>
          <w:sz w:val="22"/>
        </w:rPr>
        <w:t xml:space="preserve">3.1  </w:t>
      </w:r>
      <w:r>
        <w:rPr>
          <w:rFonts w:ascii="Times New Roman" w:hAnsi="Times New Roman" w:eastAsia="Times New Roman"/>
          <w:b w:val="0"/>
          <w:i w:val="0"/>
          <w:sz w:val="22"/>
        </w:rPr>
        <w:t>Poskytovatel se zavazuje poskytovat Objednateli Služby v rozsahu podrobně vymezeném v Příloze č. 1 (Rozsah služeb), která tvoří nedílnou součást této smlouvy.</w:t>
      </w:r>
    </w:p>
    <w:p>
      <w:pPr>
        <w:spacing w:after="80" w:before="40"/>
        <w:ind w:left="283"/>
        <w:jc w:val="both"/>
      </w:pPr>
      <w:r>
        <w:rPr>
          <w:rFonts w:ascii="Times New Roman" w:hAnsi="Times New Roman" w:eastAsia="Times New Roman"/>
          <w:b/>
          <w:i w:val="0"/>
          <w:sz w:val="22"/>
        </w:rPr>
        <w:t xml:space="preserve">3.2  </w:t>
      </w:r>
      <w:r>
        <w:rPr>
          <w:rFonts w:ascii="Times New Roman" w:hAnsi="Times New Roman" w:eastAsia="Times New Roman"/>
          <w:b w:val="0"/>
          <w:i w:val="0"/>
          <w:sz w:val="22"/>
        </w:rPr>
        <w:t>Základní okruhy Služeb zahrnují zejména: evidenci jednotek a vlastníků, vedení účetnictví a evidence hospodaření SVJ, přípravu rozpočtu a vyúčtování služeb, správu pohledávek, organizaci shromáždění a jednání výboru, komunikaci s vlastníky, správu smluv s dodavateli, koordinaci technické správy (opravy, údržba, havárie), zajištění pojištění budovy, archivaci dokumentů, zastupování vůči úřadům v běžných věcech správy a případný online přístup k informacím o správě.</w:t>
      </w:r>
    </w:p>
    <w:p>
      <w:pPr>
        <w:spacing w:after="80" w:before="40"/>
        <w:ind w:left="283"/>
        <w:jc w:val="both"/>
      </w:pPr>
      <w:r>
        <w:rPr>
          <w:rFonts w:ascii="Times New Roman" w:hAnsi="Times New Roman" w:eastAsia="Times New Roman"/>
          <w:b/>
          <w:i w:val="0"/>
          <w:sz w:val="22"/>
        </w:rPr>
        <w:t xml:space="preserve">3.3  </w:t>
      </w:r>
      <w:r>
        <w:rPr>
          <w:rFonts w:ascii="Times New Roman" w:hAnsi="Times New Roman" w:eastAsia="Times New Roman"/>
          <w:b w:val="0"/>
          <w:i w:val="0"/>
          <w:sz w:val="22"/>
        </w:rPr>
        <w:t>Služby neuvedené v Příloze č. 1 nebo označené jako volitelné / nadstandardní budou poskytnuty pouze na základě písemného požadavku Objednatele (včetně e-mailu) a za podmínek a cen podle Ceníku (Příloha č. 5), případně podle individuální dohody.</w:t>
      </w:r>
    </w:p>
    <w:p>
      <w:pPr>
        <w:spacing w:after="80" w:before="40"/>
        <w:ind w:left="283"/>
        <w:jc w:val="both"/>
      </w:pPr>
      <w:r>
        <w:rPr>
          <w:rFonts w:ascii="Times New Roman" w:hAnsi="Times New Roman" w:eastAsia="Times New Roman"/>
          <w:b/>
          <w:i w:val="0"/>
          <w:sz w:val="22"/>
        </w:rPr>
        <w:t xml:space="preserve">3.4  </w:t>
      </w:r>
      <w:r>
        <w:rPr>
          <w:rFonts w:ascii="Times New Roman" w:hAnsi="Times New Roman" w:eastAsia="Times New Roman"/>
          <w:b w:val="0"/>
          <w:i w:val="0"/>
          <w:sz w:val="22"/>
        </w:rPr>
        <w:t>Poskytovatel není oprávněn bez předchozího souhlasu Výboru uzavírat za Objednatele smlouvy přesahující běžný rámec správy, zcizovat majetek Objednatele ani činit právní jednání, k nimž je podle stanov nebo zákona výhradně oprávněno shromáždění nebo Výbor, nestanoví-li písemná plná moc nebo usnesení orgánu Objednatele jinak.</w:t>
      </w:r>
    </w:p>
    <w:p>
      <w:pPr>
        <w:spacing w:after="80" w:before="40"/>
        <w:ind w:left="283"/>
        <w:jc w:val="both"/>
      </w:pPr>
      <w:r>
        <w:rPr>
          <w:rFonts w:ascii="Times New Roman" w:hAnsi="Times New Roman" w:eastAsia="Times New Roman"/>
          <w:b/>
          <w:i w:val="0"/>
          <w:sz w:val="22"/>
        </w:rPr>
        <w:t xml:space="preserve">3.5  </w:t>
      </w:r>
      <w:r>
        <w:rPr>
          <w:rFonts w:ascii="Times New Roman" w:hAnsi="Times New Roman" w:eastAsia="Times New Roman"/>
          <w:b w:val="0"/>
          <w:i w:val="0"/>
          <w:sz w:val="22"/>
        </w:rPr>
        <w:t>Konkrétní limity samostatného jednání Poskytovatele (finanční limity oprav, objednávek apod.) si strany mohou dohodnout písemně; do doby takové dohody Platí, že Poskytovatel předem konzultuje s Výborem výdaje přesahující částku uvedenou v Příloze č. 1, oddíl „Finanční limity“ (nebo „[doplní se] Kč“).</w:t>
      </w:r>
    </w:p>
    <w:p>
      <w:pPr>
        <w:spacing w:before="360" w:after="200"/>
      </w:pPr>
      <w:r>
        <w:rPr>
          <w:rFonts w:ascii="Times New Roman" w:hAnsi="Times New Roman" w:eastAsia="Times New Roman"/>
          <w:b/>
          <w:i w:val="0"/>
          <w:sz w:val="28"/>
        </w:rPr>
        <w:t>Článek 4 – Práva a povinnosti Poskytovatele</w:t>
      </w:r>
    </w:p>
    <w:p>
      <w:pPr>
        <w:spacing w:after="80" w:before="40"/>
        <w:ind w:left="283"/>
        <w:jc w:val="both"/>
      </w:pPr>
      <w:r>
        <w:rPr>
          <w:rFonts w:ascii="Times New Roman" w:hAnsi="Times New Roman" w:eastAsia="Times New Roman"/>
          <w:b/>
          <w:i w:val="0"/>
          <w:sz w:val="22"/>
        </w:rPr>
        <w:t xml:space="preserve">4.1  </w:t>
      </w:r>
      <w:r>
        <w:rPr>
          <w:rFonts w:ascii="Times New Roman" w:hAnsi="Times New Roman" w:eastAsia="Times New Roman"/>
          <w:b w:val="0"/>
          <w:i w:val="0"/>
          <w:sz w:val="22"/>
        </w:rPr>
        <w:t>Poskytovatel je povinen poskytovat Služby s odbornou péčí, řádně, včas a v souladu s touto smlouvou, SLA, právními předpisy, stanovami Objednatele a pokyny Výboru.</w:t>
      </w:r>
    </w:p>
    <w:p>
      <w:pPr>
        <w:spacing w:after="80" w:before="40"/>
        <w:ind w:left="283"/>
        <w:jc w:val="both"/>
      </w:pPr>
      <w:r>
        <w:rPr>
          <w:rFonts w:ascii="Times New Roman" w:hAnsi="Times New Roman" w:eastAsia="Times New Roman"/>
          <w:b/>
          <w:i w:val="0"/>
          <w:sz w:val="22"/>
        </w:rPr>
        <w:t xml:space="preserve">4.2  </w:t>
      </w:r>
      <w:r>
        <w:rPr>
          <w:rFonts w:ascii="Times New Roman" w:hAnsi="Times New Roman" w:eastAsia="Times New Roman"/>
          <w:b w:val="0"/>
          <w:i w:val="0"/>
          <w:sz w:val="22"/>
        </w:rPr>
        <w:t>Poskytovatel je povinen informovat Výbor o podstatných skutečnostech týkajících se správy domu, zejména o hrozících sporech, závažných poruchách, pojišťovacích událostech, prodleních podstatných dlužníků a o jednáních s orgány veřejné moci.</w:t>
      </w:r>
    </w:p>
    <w:p>
      <w:pPr>
        <w:spacing w:after="80" w:before="40"/>
        <w:ind w:left="283"/>
        <w:jc w:val="both"/>
      </w:pPr>
      <w:r>
        <w:rPr>
          <w:rFonts w:ascii="Times New Roman" w:hAnsi="Times New Roman" w:eastAsia="Times New Roman"/>
          <w:b/>
          <w:i w:val="0"/>
          <w:sz w:val="22"/>
        </w:rPr>
        <w:t xml:space="preserve">4.3  </w:t>
      </w:r>
      <w:r>
        <w:rPr>
          <w:rFonts w:ascii="Times New Roman" w:hAnsi="Times New Roman" w:eastAsia="Times New Roman"/>
          <w:b w:val="0"/>
          <w:i w:val="0"/>
          <w:sz w:val="22"/>
        </w:rPr>
        <w:t>Poskytovatel vede přehlednou dokumentaci o výkonu správy a na požádání Výboru umožní nahlédnutí do dokumentů souvisejících se Službami, s výjimkou svých interních obchodních materiálů nesouvisejících s Objednatelem.</w:t>
      </w:r>
    </w:p>
    <w:p>
      <w:pPr>
        <w:spacing w:after="80" w:before="40"/>
        <w:ind w:left="283"/>
        <w:jc w:val="both"/>
      </w:pPr>
      <w:r>
        <w:rPr>
          <w:rFonts w:ascii="Times New Roman" w:hAnsi="Times New Roman" w:eastAsia="Times New Roman"/>
          <w:b/>
          <w:i w:val="0"/>
          <w:sz w:val="22"/>
        </w:rPr>
        <w:t xml:space="preserve">4.4  </w:t>
      </w:r>
      <w:r>
        <w:rPr>
          <w:rFonts w:ascii="Times New Roman" w:hAnsi="Times New Roman" w:eastAsia="Times New Roman"/>
          <w:b w:val="0"/>
          <w:i w:val="0"/>
          <w:sz w:val="22"/>
        </w:rPr>
        <w:t>Poskytovatel je oprávněn pověřit dílčími činnostmi třetí osoby (subdodavatele), odpovídá však Objednateli za řádné plnění, jako by Služby poskytoval sám. O podstatných subdodavatelích informuje Výbor.</w:t>
      </w:r>
    </w:p>
    <w:p>
      <w:pPr>
        <w:spacing w:after="80" w:before="40"/>
        <w:ind w:left="283"/>
        <w:jc w:val="both"/>
      </w:pPr>
      <w:r>
        <w:rPr>
          <w:rFonts w:ascii="Times New Roman" w:hAnsi="Times New Roman" w:eastAsia="Times New Roman"/>
          <w:b/>
          <w:i w:val="0"/>
          <w:sz w:val="22"/>
        </w:rPr>
        <w:t xml:space="preserve">4.5  </w:t>
      </w:r>
      <w:r>
        <w:rPr>
          <w:rFonts w:ascii="Times New Roman" w:hAnsi="Times New Roman" w:eastAsia="Times New Roman"/>
          <w:b w:val="0"/>
          <w:i w:val="0"/>
          <w:sz w:val="22"/>
        </w:rPr>
        <w:t>Poskytovatel je oprávněn požadovat od Objednatele součinnost nezbytnou k plnění Služeb, včetně včasného schvalování, poskytnutí podkladů, přístupů a rozhodnutí.</w:t>
      </w:r>
    </w:p>
    <w:p>
      <w:pPr>
        <w:spacing w:after="80" w:before="40"/>
        <w:ind w:left="283"/>
        <w:jc w:val="both"/>
      </w:pPr>
      <w:r>
        <w:rPr>
          <w:rFonts w:ascii="Times New Roman" w:hAnsi="Times New Roman" w:eastAsia="Times New Roman"/>
          <w:b/>
          <w:i w:val="0"/>
          <w:sz w:val="22"/>
        </w:rPr>
        <w:t xml:space="preserve">4.6  </w:t>
      </w:r>
      <w:r>
        <w:rPr>
          <w:rFonts w:ascii="Times New Roman" w:hAnsi="Times New Roman" w:eastAsia="Times New Roman"/>
          <w:b w:val="0"/>
          <w:i w:val="0"/>
          <w:sz w:val="22"/>
        </w:rPr>
        <w:t>Poskytovatel není povinen plnit pokyny, které by byly v rozporu s právními předpisy nebo stanovami; o takovém rozporu bez zbytečného odkladu písemně (včetně e-mailu) informuje Výbor.</w:t>
      </w:r>
    </w:p>
    <w:p>
      <w:pPr>
        <w:spacing w:after="80" w:before="40"/>
        <w:ind w:left="283"/>
        <w:jc w:val="both"/>
      </w:pPr>
      <w:r>
        <w:rPr>
          <w:rFonts w:ascii="Times New Roman" w:hAnsi="Times New Roman" w:eastAsia="Times New Roman"/>
          <w:b/>
          <w:i w:val="0"/>
          <w:sz w:val="22"/>
        </w:rPr>
        <w:t xml:space="preserve">4.7  </w:t>
      </w:r>
      <w:r>
        <w:rPr>
          <w:rFonts w:ascii="Times New Roman" w:hAnsi="Times New Roman" w:eastAsia="Times New Roman"/>
          <w:b w:val="0"/>
          <w:i w:val="0"/>
          <w:sz w:val="22"/>
        </w:rPr>
        <w:t>Poskytovatel si vyhrazuje právo používat při komunikaci a prezentaci služeb označení „Profi Správce SVJ“ / „ProfiSprávceSVJ“, aniž by tím vznikala obchodní firma odlišná od osoby Poskytovatele.</w:t>
      </w:r>
    </w:p>
    <w:p>
      <w:pPr>
        <w:spacing w:before="360" w:after="200"/>
      </w:pPr>
      <w:r>
        <w:rPr>
          <w:rFonts w:ascii="Times New Roman" w:hAnsi="Times New Roman" w:eastAsia="Times New Roman"/>
          <w:b/>
          <w:i w:val="0"/>
          <w:sz w:val="28"/>
        </w:rPr>
        <w:t>Článek 5 – Práva a povinnosti Objednatele</w:t>
      </w:r>
    </w:p>
    <w:p>
      <w:pPr>
        <w:spacing w:after="80" w:before="40"/>
        <w:ind w:left="283"/>
        <w:jc w:val="both"/>
      </w:pPr>
      <w:r>
        <w:rPr>
          <w:rFonts w:ascii="Times New Roman" w:hAnsi="Times New Roman" w:eastAsia="Times New Roman"/>
          <w:b/>
          <w:i w:val="0"/>
          <w:sz w:val="22"/>
        </w:rPr>
        <w:t xml:space="preserve">5.1  </w:t>
      </w:r>
      <w:r>
        <w:rPr>
          <w:rFonts w:ascii="Times New Roman" w:hAnsi="Times New Roman" w:eastAsia="Times New Roman"/>
          <w:b w:val="0"/>
          <w:i w:val="0"/>
          <w:sz w:val="22"/>
        </w:rPr>
        <w:t>Objednatel je povinen poskytovat Poskytovateli veškerou součinnost potřebnou k řádnému výkonu Služeb, zejména včas schvalovat návrhy, poskytovat informace, dokumenty, klíče, přístupové údaje a kontakty a zajišťovat rozhodnutí orgánů SVJ.</w:t>
      </w:r>
    </w:p>
    <w:p>
      <w:pPr>
        <w:spacing w:after="80" w:before="40"/>
        <w:ind w:left="283"/>
        <w:jc w:val="both"/>
      </w:pPr>
      <w:r>
        <w:rPr>
          <w:rFonts w:ascii="Times New Roman" w:hAnsi="Times New Roman" w:eastAsia="Times New Roman"/>
          <w:b/>
          <w:i w:val="0"/>
          <w:sz w:val="22"/>
        </w:rPr>
        <w:t xml:space="preserve">5.2  </w:t>
      </w:r>
      <w:r>
        <w:rPr>
          <w:rFonts w:ascii="Times New Roman" w:hAnsi="Times New Roman" w:eastAsia="Times New Roman"/>
          <w:b w:val="0"/>
          <w:i w:val="0"/>
          <w:sz w:val="22"/>
        </w:rPr>
        <w:t>Objednatel je povinen hradit Poskytovateli odměnu a účelně vynaložené a dohodnuté náklady podle čl. 6 a Ceníku ve lhůtách splatnosti.</w:t>
      </w:r>
    </w:p>
    <w:p>
      <w:pPr>
        <w:spacing w:after="80" w:before="40"/>
        <w:ind w:left="283"/>
        <w:jc w:val="both"/>
      </w:pPr>
      <w:r>
        <w:rPr>
          <w:rFonts w:ascii="Times New Roman" w:hAnsi="Times New Roman" w:eastAsia="Times New Roman"/>
          <w:b/>
          <w:i w:val="0"/>
          <w:sz w:val="22"/>
        </w:rPr>
        <w:t xml:space="preserve">5.3  </w:t>
      </w:r>
      <w:r>
        <w:rPr>
          <w:rFonts w:ascii="Times New Roman" w:hAnsi="Times New Roman" w:eastAsia="Times New Roman"/>
          <w:b w:val="0"/>
          <w:i w:val="0"/>
          <w:sz w:val="22"/>
        </w:rPr>
        <w:t>Objednatel určí kontaktní osoby Výboru oprávněné komunikovat s Poskytovatelem a přijímat jeho hlášení. Do doby jiného písemného určení se má za to, že kontaktními osobami jsou členové Výboru uvedení v podpisové části této smlouvy.</w:t>
      </w:r>
    </w:p>
    <w:p>
      <w:pPr>
        <w:spacing w:after="80" w:before="40"/>
        <w:ind w:left="283"/>
        <w:jc w:val="both"/>
      </w:pPr>
      <w:r>
        <w:rPr>
          <w:rFonts w:ascii="Times New Roman" w:hAnsi="Times New Roman" w:eastAsia="Times New Roman"/>
          <w:b/>
          <w:i w:val="0"/>
          <w:sz w:val="22"/>
        </w:rPr>
        <w:t xml:space="preserve">5.4  </w:t>
      </w:r>
      <w:r>
        <w:rPr>
          <w:rFonts w:ascii="Times New Roman" w:hAnsi="Times New Roman" w:eastAsia="Times New Roman"/>
          <w:b w:val="0"/>
          <w:i w:val="0"/>
          <w:sz w:val="22"/>
        </w:rPr>
        <w:t>Objednatel odpovídá za správnost a úplnost podkladů, které Poskytovateli předá, a za rozhodnutí přijatá jeho orgány. Poskytovatel neodpovídá za škodu vzniklou v důsledku nesprávných či neúplných podkladů nebo opožděných rozhodnutí Objednatele.</w:t>
      </w:r>
    </w:p>
    <w:p>
      <w:pPr>
        <w:spacing w:after="80" w:before="40"/>
        <w:ind w:left="283"/>
        <w:jc w:val="both"/>
      </w:pPr>
      <w:r>
        <w:rPr>
          <w:rFonts w:ascii="Times New Roman" w:hAnsi="Times New Roman" w:eastAsia="Times New Roman"/>
          <w:b/>
          <w:i w:val="0"/>
          <w:sz w:val="22"/>
        </w:rPr>
        <w:t xml:space="preserve">5.5  </w:t>
      </w:r>
      <w:r>
        <w:rPr>
          <w:rFonts w:ascii="Times New Roman" w:hAnsi="Times New Roman" w:eastAsia="Times New Roman"/>
          <w:b w:val="0"/>
          <w:i w:val="0"/>
          <w:sz w:val="22"/>
        </w:rPr>
        <w:t>Objednatel je oprávněn kontrolovat výkon Služeb a požadovat periodické reporty v rozsahu SLA (Příloha č. 2).</w:t>
      </w:r>
    </w:p>
    <w:p>
      <w:pPr>
        <w:spacing w:after="80" w:before="40"/>
        <w:ind w:left="283"/>
        <w:jc w:val="both"/>
      </w:pPr>
      <w:r>
        <w:rPr>
          <w:rFonts w:ascii="Times New Roman" w:hAnsi="Times New Roman" w:eastAsia="Times New Roman"/>
          <w:b/>
          <w:i w:val="0"/>
          <w:sz w:val="22"/>
        </w:rPr>
        <w:t xml:space="preserve">5.6  </w:t>
      </w:r>
      <w:r>
        <w:rPr>
          <w:rFonts w:ascii="Times New Roman" w:hAnsi="Times New Roman" w:eastAsia="Times New Roman"/>
          <w:b w:val="0"/>
          <w:i w:val="0"/>
          <w:sz w:val="22"/>
        </w:rPr>
        <w:t>Objednatel bez zbytečného odkladu oznámí Poskytovateli změny stanov, změnu složení Výboru, změnu bankovního spojení a jiné skutečnosti podstatné pro správu.</w:t>
      </w:r>
    </w:p>
    <w:p>
      <w:pPr>
        <w:spacing w:before="360" w:after="200"/>
      </w:pPr>
      <w:r>
        <w:rPr>
          <w:rFonts w:ascii="Times New Roman" w:hAnsi="Times New Roman" w:eastAsia="Times New Roman"/>
          <w:b/>
          <w:i w:val="0"/>
          <w:sz w:val="28"/>
        </w:rPr>
        <w:t>Článek 6 – Odměna, fakturace a platební podmínky</w:t>
      </w:r>
    </w:p>
    <w:p>
      <w:pPr>
        <w:spacing w:after="80" w:before="40"/>
        <w:ind w:left="283"/>
        <w:jc w:val="both"/>
      </w:pPr>
      <w:r>
        <w:rPr>
          <w:rFonts w:ascii="Times New Roman" w:hAnsi="Times New Roman" w:eastAsia="Times New Roman"/>
          <w:b/>
          <w:i w:val="0"/>
          <w:sz w:val="22"/>
        </w:rPr>
        <w:t xml:space="preserve">6.1  </w:t>
      </w:r>
      <w:r>
        <w:rPr>
          <w:rFonts w:ascii="Times New Roman" w:hAnsi="Times New Roman" w:eastAsia="Times New Roman"/>
          <w:b w:val="0"/>
          <w:i w:val="0"/>
          <w:sz w:val="22"/>
        </w:rPr>
        <w:t>Za poskytování Služeb náleží Poskytovateli odměna ve výši a struktuře stanovené v Příloze č. 5 (Ceník). Není-li v Ceníku uvedena konkrétní částka, strany ji doplní před podpisem nebo samostatným písemným dodatkem.</w:t>
      </w:r>
    </w:p>
    <w:p>
      <w:pPr>
        <w:spacing w:after="80" w:before="40"/>
        <w:ind w:left="283"/>
        <w:jc w:val="both"/>
      </w:pPr>
      <w:r>
        <w:rPr>
          <w:rFonts w:ascii="Times New Roman" w:hAnsi="Times New Roman" w:eastAsia="Times New Roman"/>
          <w:b/>
          <w:i w:val="0"/>
          <w:sz w:val="22"/>
        </w:rPr>
        <w:t xml:space="preserve">6.2  </w:t>
      </w:r>
      <w:r>
        <w:rPr>
          <w:rFonts w:ascii="Times New Roman" w:hAnsi="Times New Roman" w:eastAsia="Times New Roman"/>
          <w:b w:val="0"/>
          <w:i w:val="0"/>
          <w:sz w:val="22"/>
        </w:rPr>
        <w:t>Základní odměna za správu je zpravidla sjednána jako měsíční paušál. Volitelné a jednorázové služby se účtují podle Ceníku nebo individuální nabídky schválené Výborem.</w:t>
      </w:r>
    </w:p>
    <w:p>
      <w:pPr>
        <w:spacing w:after="80" w:before="40"/>
        <w:ind w:left="283"/>
        <w:jc w:val="both"/>
      </w:pPr>
      <w:r>
        <w:rPr>
          <w:rFonts w:ascii="Times New Roman" w:hAnsi="Times New Roman" w:eastAsia="Times New Roman"/>
          <w:b/>
          <w:i w:val="0"/>
          <w:sz w:val="22"/>
        </w:rPr>
        <w:t xml:space="preserve">6.3  </w:t>
      </w:r>
      <w:r>
        <w:rPr>
          <w:rFonts w:ascii="Times New Roman" w:hAnsi="Times New Roman" w:eastAsia="Times New Roman"/>
          <w:b w:val="0"/>
          <w:i w:val="0"/>
          <w:sz w:val="22"/>
        </w:rPr>
        <w:t>Ceny jsou uváděny bez DPH. Poskytovatel jako OSVČ uplatní DPH podle své aktuální registrace k DPH a platných právních předpisů; na daňovém dokladu bude DPH řádně vyčísleno, pokud se uplatňuje.</w:t>
      </w:r>
    </w:p>
    <w:p>
      <w:pPr>
        <w:spacing w:after="80" w:before="40"/>
        <w:ind w:left="283"/>
        <w:jc w:val="both"/>
      </w:pPr>
      <w:r>
        <w:rPr>
          <w:rFonts w:ascii="Times New Roman" w:hAnsi="Times New Roman" w:eastAsia="Times New Roman"/>
          <w:b/>
          <w:i w:val="0"/>
          <w:sz w:val="22"/>
        </w:rPr>
        <w:t xml:space="preserve">6.4  </w:t>
      </w:r>
      <w:r>
        <w:rPr>
          <w:rFonts w:ascii="Times New Roman" w:hAnsi="Times New Roman" w:eastAsia="Times New Roman"/>
          <w:b w:val="0"/>
          <w:i w:val="0"/>
          <w:sz w:val="22"/>
        </w:rPr>
        <w:t>Poskytovatel vystaví daňový doklad (fakturu) zpravidla měsíčně, nejpozději do 15. dne měsíce následujícího po měsíci, za který je odměna účtována, není-li dohodnuto jinak. Splatnost faktury činí 14 dnů ode dne doručení, nestanoví-li faktura lhůtu delší.</w:t>
      </w:r>
    </w:p>
    <w:p>
      <w:pPr>
        <w:spacing w:after="80" w:before="40"/>
        <w:ind w:left="283"/>
        <w:jc w:val="both"/>
      </w:pPr>
      <w:r>
        <w:rPr>
          <w:rFonts w:ascii="Times New Roman" w:hAnsi="Times New Roman" w:eastAsia="Times New Roman"/>
          <w:b/>
          <w:i w:val="0"/>
          <w:sz w:val="22"/>
        </w:rPr>
        <w:t xml:space="preserve">6.5  </w:t>
      </w:r>
      <w:r>
        <w:rPr>
          <w:rFonts w:ascii="Times New Roman" w:hAnsi="Times New Roman" w:eastAsia="Times New Roman"/>
          <w:b w:val="0"/>
          <w:i w:val="0"/>
          <w:sz w:val="22"/>
        </w:rPr>
        <w:t>Platby se provádějí bezhotovostně na účet Poskytovatele uvedený na faktuře. Za den úhrady se považuje den připsání částky na účet Poskytovatele.</w:t>
      </w:r>
    </w:p>
    <w:p>
      <w:pPr>
        <w:spacing w:after="80" w:before="40"/>
        <w:ind w:left="283"/>
        <w:jc w:val="both"/>
      </w:pPr>
      <w:r>
        <w:rPr>
          <w:rFonts w:ascii="Times New Roman" w:hAnsi="Times New Roman" w:eastAsia="Times New Roman"/>
          <w:b/>
          <w:i w:val="0"/>
          <w:sz w:val="22"/>
        </w:rPr>
        <w:t xml:space="preserve">6.6  </w:t>
      </w:r>
      <w:r>
        <w:rPr>
          <w:rFonts w:ascii="Times New Roman" w:hAnsi="Times New Roman" w:eastAsia="Times New Roman"/>
          <w:b w:val="0"/>
          <w:i w:val="0"/>
          <w:sz w:val="22"/>
        </w:rPr>
        <w:t>V případě prodlení Objednatele s úhradou je Poskytovatel oprávněn požadovat zákonný úrok z prodlení. Při prodlení delším než 30 dnů je Poskytovatel oprávněn po předchozím písemném upozornění omezit neurgentní Služby až do úplné úhrady.</w:t>
      </w:r>
    </w:p>
    <w:p>
      <w:pPr>
        <w:spacing w:after="80" w:before="40"/>
        <w:ind w:left="283"/>
        <w:jc w:val="both"/>
      </w:pPr>
      <w:r>
        <w:rPr>
          <w:rFonts w:ascii="Times New Roman" w:hAnsi="Times New Roman" w:eastAsia="Times New Roman"/>
          <w:b/>
          <w:i w:val="0"/>
          <w:sz w:val="22"/>
        </w:rPr>
        <w:t xml:space="preserve">6.7  </w:t>
      </w:r>
      <w:r>
        <w:rPr>
          <w:rFonts w:ascii="Times New Roman" w:hAnsi="Times New Roman" w:eastAsia="Times New Roman"/>
          <w:b w:val="0"/>
          <w:i w:val="0"/>
          <w:sz w:val="22"/>
        </w:rPr>
        <w:t>Náklady třetích stran (energie, pojištění, dodavatelé oprav, právní služby apod.) hradí přímo Objednatel, nestanoví-li strany výslovně, že je Poskytovatel přeúčtuje na základě dokladů. Takové náklady nejsou součástí paušální odměny.</w:t>
      </w:r>
    </w:p>
    <w:p>
      <w:pPr>
        <w:spacing w:after="80" w:before="40"/>
        <w:ind w:left="283"/>
        <w:jc w:val="both"/>
      </w:pPr>
      <w:r>
        <w:rPr>
          <w:rFonts w:ascii="Times New Roman" w:hAnsi="Times New Roman" w:eastAsia="Times New Roman"/>
          <w:b/>
          <w:i w:val="0"/>
          <w:sz w:val="22"/>
        </w:rPr>
        <w:t xml:space="preserve">6.8  </w:t>
      </w:r>
      <w:r>
        <w:rPr>
          <w:rFonts w:ascii="Times New Roman" w:hAnsi="Times New Roman" w:eastAsia="Times New Roman"/>
          <w:b w:val="0"/>
          <w:i w:val="0"/>
          <w:sz w:val="22"/>
        </w:rPr>
        <w:t>Indexace: strany mohou po uplynutí každých 12 měsíců účinnosti smlouvy jednat o úpravě paušálu s ohledem na inflaci (např. průměrný roční index spotřebitelských cen ČSÚ) a změnu rozsahu Služeb. Nedohodnou-li se, zůstává v platnosti dosavadní odměna a kterákoliv strana může smlouvu vypovědět podle čl. 10.</w:t>
      </w:r>
    </w:p>
    <w:p>
      <w:pPr>
        <w:spacing w:before="360" w:after="200"/>
      </w:pPr>
      <w:r>
        <w:rPr>
          <w:rFonts w:ascii="Times New Roman" w:hAnsi="Times New Roman" w:eastAsia="Times New Roman"/>
          <w:b/>
          <w:i w:val="0"/>
          <w:sz w:val="28"/>
        </w:rPr>
        <w:t>Článek 7 – SLA a kvalita služeb</w:t>
      </w:r>
    </w:p>
    <w:p>
      <w:pPr>
        <w:spacing w:after="80" w:before="40"/>
        <w:ind w:left="283"/>
        <w:jc w:val="both"/>
      </w:pPr>
      <w:r>
        <w:rPr>
          <w:rFonts w:ascii="Times New Roman" w:hAnsi="Times New Roman" w:eastAsia="Times New Roman"/>
          <w:b/>
          <w:i w:val="0"/>
          <w:sz w:val="22"/>
        </w:rPr>
        <w:t xml:space="preserve">7.1  </w:t>
      </w:r>
      <w:r>
        <w:rPr>
          <w:rFonts w:ascii="Times New Roman" w:hAnsi="Times New Roman" w:eastAsia="Times New Roman"/>
          <w:b w:val="0"/>
          <w:i w:val="0"/>
          <w:sz w:val="22"/>
        </w:rPr>
        <w:t>Poskytovatel se zavazuje dodržovat úrovně služeb, reakční doby, dostupnost kontaktních kanálů a pravidelnost reportingu stanovené v Příloze č. 2 (SLA).</w:t>
      </w:r>
    </w:p>
    <w:p>
      <w:pPr>
        <w:spacing w:after="80" w:before="40"/>
        <w:ind w:left="283"/>
        <w:jc w:val="both"/>
      </w:pPr>
      <w:r>
        <w:rPr>
          <w:rFonts w:ascii="Times New Roman" w:hAnsi="Times New Roman" w:eastAsia="Times New Roman"/>
          <w:b/>
          <w:i w:val="0"/>
          <w:sz w:val="22"/>
        </w:rPr>
        <w:t xml:space="preserve">7.2  </w:t>
      </w:r>
      <w:r>
        <w:rPr>
          <w:rFonts w:ascii="Times New Roman" w:hAnsi="Times New Roman" w:eastAsia="Times New Roman"/>
          <w:b w:val="0"/>
          <w:i w:val="0"/>
          <w:sz w:val="22"/>
        </w:rPr>
        <w:t>Havárie a urgentní situace mají přednost před běžnými požadavky. Poskytovatel koordinuje nezbytná opatření a bez zbytečného odkladu informuje Výbor.</w:t>
      </w:r>
    </w:p>
    <w:p>
      <w:pPr>
        <w:spacing w:after="80" w:before="40"/>
        <w:ind w:left="283"/>
        <w:jc w:val="both"/>
      </w:pPr>
      <w:r>
        <w:rPr>
          <w:rFonts w:ascii="Times New Roman" w:hAnsi="Times New Roman" w:eastAsia="Times New Roman"/>
          <w:b/>
          <w:i w:val="0"/>
          <w:sz w:val="22"/>
        </w:rPr>
        <w:t xml:space="preserve">7.3  </w:t>
      </w:r>
      <w:r>
        <w:rPr>
          <w:rFonts w:ascii="Times New Roman" w:hAnsi="Times New Roman" w:eastAsia="Times New Roman"/>
          <w:b w:val="0"/>
          <w:i w:val="0"/>
          <w:sz w:val="22"/>
        </w:rPr>
        <w:t>Opakované podstatné porušení SLA, které Poskytovatel neodstraní ani v dodatečné přiměřené lhůtě stanovené Výborem (nejméně 15 dnů, u havárií lhůta kratší podle povahy), se považuje za podstatné porušení smlouvy ve smyslu čl. 10.</w:t>
      </w:r>
    </w:p>
    <w:p>
      <w:pPr>
        <w:spacing w:after="80" w:before="40"/>
        <w:ind w:left="283"/>
        <w:jc w:val="both"/>
      </w:pPr>
      <w:r>
        <w:rPr>
          <w:rFonts w:ascii="Times New Roman" w:hAnsi="Times New Roman" w:eastAsia="Times New Roman"/>
          <w:b/>
          <w:i w:val="0"/>
          <w:sz w:val="22"/>
        </w:rPr>
        <w:t xml:space="preserve">7.4  </w:t>
      </w:r>
      <w:r>
        <w:rPr>
          <w:rFonts w:ascii="Times New Roman" w:hAnsi="Times New Roman" w:eastAsia="Times New Roman"/>
          <w:b w:val="0"/>
          <w:i w:val="0"/>
          <w:sz w:val="22"/>
        </w:rPr>
        <w:t>SLA nestanoví smluvní pokuty, nestanoví-li strany jinak písemným dodatkem. Tím není dotčeno právo na náhradu škody podle čl. 8.</w:t>
      </w:r>
    </w:p>
    <w:p>
      <w:pPr>
        <w:spacing w:before="360" w:after="200"/>
      </w:pPr>
      <w:r>
        <w:rPr>
          <w:rFonts w:ascii="Times New Roman" w:hAnsi="Times New Roman" w:eastAsia="Times New Roman"/>
          <w:b/>
          <w:i w:val="0"/>
          <w:sz w:val="28"/>
        </w:rPr>
        <w:t>Článek 8 – Odpovědnost, pojištění a škody</w:t>
      </w:r>
    </w:p>
    <w:p>
      <w:pPr>
        <w:spacing w:after="80" w:before="40"/>
        <w:ind w:left="283"/>
        <w:jc w:val="both"/>
      </w:pPr>
      <w:r>
        <w:rPr>
          <w:rFonts w:ascii="Times New Roman" w:hAnsi="Times New Roman" w:eastAsia="Times New Roman"/>
          <w:b/>
          <w:i w:val="0"/>
          <w:sz w:val="22"/>
        </w:rPr>
        <w:t xml:space="preserve">8.1  </w:t>
      </w:r>
      <w:r>
        <w:rPr>
          <w:rFonts w:ascii="Times New Roman" w:hAnsi="Times New Roman" w:eastAsia="Times New Roman"/>
          <w:b w:val="0"/>
          <w:i w:val="0"/>
          <w:sz w:val="22"/>
        </w:rPr>
        <w:t>Každá ze stran odpovídá za škodu způsobenou porušením svých povinností z této smlouvy nebo z právních předpisů, v rozsahu stanoveném občanským zákoníkem.</w:t>
      </w:r>
    </w:p>
    <w:p>
      <w:pPr>
        <w:spacing w:after="80" w:before="40"/>
        <w:ind w:left="283"/>
        <w:jc w:val="both"/>
      </w:pPr>
      <w:r>
        <w:rPr>
          <w:rFonts w:ascii="Times New Roman" w:hAnsi="Times New Roman" w:eastAsia="Times New Roman"/>
          <w:b/>
          <w:i w:val="0"/>
          <w:sz w:val="22"/>
        </w:rPr>
        <w:t xml:space="preserve">8.2  </w:t>
      </w:r>
      <w:r>
        <w:rPr>
          <w:rFonts w:ascii="Times New Roman" w:hAnsi="Times New Roman" w:eastAsia="Times New Roman"/>
          <w:b w:val="0"/>
          <w:i w:val="0"/>
          <w:sz w:val="22"/>
        </w:rPr>
        <w:t>Poskytovatel neodpovídá za škodu vzniklou v důsledku vyšší moci, jednání třetích osob mimo jeho kontrolu (včetně dodavatelů vybraných či schválených Objednatelem proti doporučení Poskytovatele), ani za škodu způsobenou neposkytnutím součinnosti Objednatele.</w:t>
      </w:r>
    </w:p>
    <w:p>
      <w:pPr>
        <w:spacing w:after="80" w:before="40"/>
        <w:ind w:left="283"/>
        <w:jc w:val="both"/>
      </w:pPr>
      <w:r>
        <w:rPr>
          <w:rFonts w:ascii="Times New Roman" w:hAnsi="Times New Roman" w:eastAsia="Times New Roman"/>
          <w:b/>
          <w:i w:val="0"/>
          <w:sz w:val="22"/>
        </w:rPr>
        <w:t xml:space="preserve">8.3  </w:t>
      </w:r>
      <w:r>
        <w:rPr>
          <w:rFonts w:ascii="Times New Roman" w:hAnsi="Times New Roman" w:eastAsia="Times New Roman"/>
          <w:b w:val="0"/>
          <w:i w:val="0"/>
          <w:sz w:val="22"/>
        </w:rPr>
        <w:t>Celková odpovědnost Poskytovatele za škodu vzniklou v souvislosti s touto smlouvou v jednom kalendářním roce je omezena výší odpovídající dvanáctinásobku měsíčního paušálu sjednaného v Ceníku za dané období, s výjimkou škody způsobené úmyslně nebo z hrubé nedbalosti a s výjimkou újmy na přirozených právech člověka.</w:t>
      </w:r>
    </w:p>
    <w:p>
      <w:pPr>
        <w:spacing w:after="80" w:before="40"/>
        <w:ind w:left="283"/>
        <w:jc w:val="both"/>
      </w:pPr>
      <w:r>
        <w:rPr>
          <w:rFonts w:ascii="Times New Roman" w:hAnsi="Times New Roman" w:eastAsia="Times New Roman"/>
          <w:b/>
          <w:i w:val="0"/>
          <w:sz w:val="22"/>
        </w:rPr>
        <w:t xml:space="preserve">8.4  </w:t>
      </w:r>
      <w:r>
        <w:rPr>
          <w:rFonts w:ascii="Times New Roman" w:hAnsi="Times New Roman" w:eastAsia="Times New Roman"/>
          <w:b w:val="0"/>
          <w:i w:val="0"/>
          <w:sz w:val="22"/>
        </w:rPr>
        <w:t>Poskytovatel se zavazuje udržovat po dobu trvání smlouvy pojištění odpovědnosti za újmu způsobenou při výkonu podnikatelské činnosti v přiměřeném rozsahu. Číslo pojistné smlouvy: [doplní se]. Pojistitel: [doplní se]. Na žádost Výboru Poskytovatel doloží potvrzení o pojištění.</w:t>
      </w:r>
    </w:p>
    <w:p>
      <w:pPr>
        <w:spacing w:after="80" w:before="40"/>
        <w:ind w:left="283"/>
        <w:jc w:val="both"/>
      </w:pPr>
      <w:r>
        <w:rPr>
          <w:rFonts w:ascii="Times New Roman" w:hAnsi="Times New Roman" w:eastAsia="Times New Roman"/>
          <w:b/>
          <w:i w:val="0"/>
          <w:sz w:val="22"/>
        </w:rPr>
        <w:t xml:space="preserve">8.5  </w:t>
      </w:r>
      <w:r>
        <w:rPr>
          <w:rFonts w:ascii="Times New Roman" w:hAnsi="Times New Roman" w:eastAsia="Times New Roman"/>
          <w:b w:val="0"/>
          <w:i w:val="0"/>
          <w:sz w:val="22"/>
        </w:rPr>
        <w:t>Objednatel udržuje pojištění budovy (společných částí) v rozsahu obvyklém pro daný typ nemovitosti. Poskytovatel při správě pojištění budovy postupuje podle Přílohy č. 1 a pokynů Výboru; číslo pojistné smlouvy budovy: [doplní se].</w:t>
      </w:r>
    </w:p>
    <w:p>
      <w:pPr>
        <w:spacing w:after="80" w:before="40"/>
        <w:ind w:left="283"/>
        <w:jc w:val="both"/>
      </w:pPr>
      <w:r>
        <w:rPr>
          <w:rFonts w:ascii="Times New Roman" w:hAnsi="Times New Roman" w:eastAsia="Times New Roman"/>
          <w:b/>
          <w:i w:val="0"/>
          <w:sz w:val="22"/>
        </w:rPr>
        <w:t xml:space="preserve">8.6  </w:t>
      </w:r>
      <w:r>
        <w:rPr>
          <w:rFonts w:ascii="Times New Roman" w:hAnsi="Times New Roman" w:eastAsia="Times New Roman"/>
          <w:b w:val="0"/>
          <w:i w:val="0"/>
          <w:sz w:val="22"/>
        </w:rPr>
        <w:t>Strany se zavazují o vzniku škody a o uplatnění nároků z pojištění bez zbytečného odkladu informovat a poskytnout si součinnost při likvidaci pojistných událostí.</w:t>
      </w:r>
    </w:p>
    <w:p>
      <w:pPr>
        <w:spacing w:before="360" w:after="200"/>
      </w:pPr>
      <w:r>
        <w:rPr>
          <w:rFonts w:ascii="Times New Roman" w:hAnsi="Times New Roman" w:eastAsia="Times New Roman"/>
          <w:b/>
          <w:i w:val="0"/>
          <w:sz w:val="28"/>
        </w:rPr>
        <w:t>Článek 9 – Důvěrnost a ochrana osobních údajů (GDPR)</w:t>
      </w:r>
    </w:p>
    <w:p>
      <w:pPr>
        <w:spacing w:after="80" w:before="40"/>
        <w:ind w:left="283"/>
        <w:jc w:val="both"/>
      </w:pPr>
      <w:r>
        <w:rPr>
          <w:rFonts w:ascii="Times New Roman" w:hAnsi="Times New Roman" w:eastAsia="Times New Roman"/>
          <w:b/>
          <w:i w:val="0"/>
          <w:sz w:val="22"/>
        </w:rPr>
        <w:t xml:space="preserve">9.1  </w:t>
      </w:r>
      <w:r>
        <w:rPr>
          <w:rFonts w:ascii="Times New Roman" w:hAnsi="Times New Roman" w:eastAsia="Times New Roman"/>
          <w:b w:val="0"/>
          <w:i w:val="0"/>
          <w:sz w:val="22"/>
        </w:rPr>
        <w:t>Strany zachovávají mlčenlivost o důvěrných informacích získaných při plnění této smlouvy, zejména o hospodářských, technických a osobních údajích Objednatele a vlastníků, a to i po ukončení smlouvy, dokud trvá důvěrná povaha informací.</w:t>
      </w:r>
    </w:p>
    <w:p>
      <w:pPr>
        <w:spacing w:after="80" w:before="40"/>
        <w:ind w:left="283"/>
        <w:jc w:val="both"/>
      </w:pPr>
      <w:r>
        <w:rPr>
          <w:rFonts w:ascii="Times New Roman" w:hAnsi="Times New Roman" w:eastAsia="Times New Roman"/>
          <w:b/>
          <w:i w:val="0"/>
          <w:sz w:val="22"/>
        </w:rPr>
        <w:t xml:space="preserve">9.2  </w:t>
      </w:r>
      <w:r>
        <w:rPr>
          <w:rFonts w:ascii="Times New Roman" w:hAnsi="Times New Roman" w:eastAsia="Times New Roman"/>
          <w:b w:val="0"/>
          <w:i w:val="0"/>
          <w:sz w:val="22"/>
        </w:rPr>
        <w:t>Povinnost mlčenlivosti se nevztahuje na informace veřejně známé, informace zpřístupněné se souhlasem druhé strany, nebo jejichž zpřístupnění vyžaduje zákon nebo orgán veřejné moci.</w:t>
      </w:r>
    </w:p>
    <w:p>
      <w:pPr>
        <w:spacing w:after="80" w:before="40"/>
        <w:ind w:left="283"/>
        <w:jc w:val="both"/>
      </w:pPr>
      <w:r>
        <w:rPr>
          <w:rFonts w:ascii="Times New Roman" w:hAnsi="Times New Roman" w:eastAsia="Times New Roman"/>
          <w:b/>
          <w:i w:val="0"/>
          <w:sz w:val="22"/>
        </w:rPr>
        <w:t xml:space="preserve">9.3  </w:t>
      </w:r>
      <w:r>
        <w:rPr>
          <w:rFonts w:ascii="Times New Roman" w:hAnsi="Times New Roman" w:eastAsia="Times New Roman"/>
          <w:b w:val="0"/>
          <w:i w:val="0"/>
          <w:sz w:val="22"/>
        </w:rPr>
        <w:t>Zpracování osobních údajů v souvislosti se Službami se řídí Přílohou č. 3, která stanoví role stran (včetně postavení Poskytovatele jako zpracovatele tam, kde je Objednatel správcem), kategorie údajů, účely, dobu uchování, zabezpečení, případné další zpracovatele a práva subjektů údajů.</w:t>
      </w:r>
    </w:p>
    <w:p>
      <w:pPr>
        <w:spacing w:after="80" w:before="40"/>
        <w:ind w:left="283"/>
        <w:jc w:val="both"/>
      </w:pPr>
      <w:r>
        <w:rPr>
          <w:rFonts w:ascii="Times New Roman" w:hAnsi="Times New Roman" w:eastAsia="Times New Roman"/>
          <w:b/>
          <w:i w:val="0"/>
          <w:sz w:val="22"/>
        </w:rPr>
        <w:t xml:space="preserve">9.4  </w:t>
      </w:r>
      <w:r>
        <w:rPr>
          <w:rFonts w:ascii="Times New Roman" w:hAnsi="Times New Roman" w:eastAsia="Times New Roman"/>
          <w:b w:val="0"/>
          <w:i w:val="0"/>
          <w:sz w:val="22"/>
        </w:rPr>
        <w:t>Kontaktní e-mail pro žádosti týkající se osobních údajů: svj@martinpohl.cz.</w:t>
      </w:r>
    </w:p>
    <w:p>
      <w:pPr>
        <w:spacing w:before="360" w:after="200"/>
      </w:pPr>
      <w:r>
        <w:rPr>
          <w:rFonts w:ascii="Times New Roman" w:hAnsi="Times New Roman" w:eastAsia="Times New Roman"/>
          <w:b/>
          <w:i w:val="0"/>
          <w:sz w:val="28"/>
        </w:rPr>
        <w:t>Článek 10 – Doba trvání, výpověď a odstoupení</w:t>
      </w:r>
    </w:p>
    <w:p>
      <w:pPr>
        <w:spacing w:after="80" w:before="40"/>
        <w:ind w:left="283"/>
        <w:jc w:val="both"/>
      </w:pPr>
      <w:r>
        <w:rPr>
          <w:rFonts w:ascii="Times New Roman" w:hAnsi="Times New Roman" w:eastAsia="Times New Roman"/>
          <w:b/>
          <w:i w:val="0"/>
          <w:sz w:val="22"/>
        </w:rPr>
        <w:t xml:space="preserve">10.1  </w:t>
      </w:r>
      <w:r>
        <w:rPr>
          <w:rFonts w:ascii="Times New Roman" w:hAnsi="Times New Roman" w:eastAsia="Times New Roman"/>
          <w:b w:val="0"/>
          <w:i w:val="0"/>
          <w:sz w:val="22"/>
        </w:rPr>
        <w:t>Tato smlouva se uzavírá na dobu určitou 12 (dvanáct) měsíců ode dne účinnosti. Den účinnosti: ke dni podpisu smlouvy, nestanoví-li strany v níže uvedeném poli jiné datum účinnosti: ________________ (doplní se).</w:t>
      </w:r>
    </w:p>
    <w:p>
      <w:pPr>
        <w:spacing w:after="80" w:before="40"/>
        <w:ind w:left="283"/>
        <w:jc w:val="both"/>
      </w:pPr>
      <w:r>
        <w:rPr>
          <w:rFonts w:ascii="Times New Roman" w:hAnsi="Times New Roman" w:eastAsia="Times New Roman"/>
          <w:b/>
          <w:i w:val="0"/>
          <w:sz w:val="22"/>
        </w:rPr>
        <w:t xml:space="preserve">10.2  </w:t>
      </w:r>
      <w:r>
        <w:rPr>
          <w:rFonts w:ascii="Times New Roman" w:hAnsi="Times New Roman" w:eastAsia="Times New Roman"/>
          <w:b w:val="0"/>
          <w:i w:val="0"/>
          <w:sz w:val="22"/>
        </w:rPr>
        <w:t>Smlouva se automaticky prodlužuje o další období 12 měsíců, pokud kterákoli ze stran písemně nesdělí druhé straně nejpozději 3 (tři) měsíce před uplynutím aktuálního období, že na prodloužení netrvá. Automatické prodloužení se může opakovat.</w:t>
      </w:r>
    </w:p>
    <w:p>
      <w:pPr>
        <w:spacing w:after="80" w:before="40"/>
        <w:ind w:left="283"/>
        <w:jc w:val="both"/>
      </w:pPr>
      <w:r>
        <w:rPr>
          <w:rFonts w:ascii="Times New Roman" w:hAnsi="Times New Roman" w:eastAsia="Times New Roman"/>
          <w:b/>
          <w:i w:val="0"/>
          <w:sz w:val="22"/>
        </w:rPr>
        <w:t xml:space="preserve">10.3  </w:t>
      </w:r>
      <w:r>
        <w:rPr>
          <w:rFonts w:ascii="Times New Roman" w:hAnsi="Times New Roman" w:eastAsia="Times New Roman"/>
          <w:b w:val="0"/>
          <w:i w:val="0"/>
          <w:sz w:val="22"/>
        </w:rPr>
        <w:t>Kterákoli strana může smlouvu písemně vypovědět i bez uvedení důvodu s výpovědní dobou 3 (tři) měsíce. Výpovědní doba začíná běžet prvním dnem kalendářního měsíce následujícího po doručení výpovědi.</w:t>
      </w:r>
    </w:p>
    <w:p>
      <w:pPr>
        <w:spacing w:after="80" w:before="40"/>
        <w:ind w:left="283"/>
        <w:jc w:val="both"/>
      </w:pPr>
      <w:r>
        <w:rPr>
          <w:rFonts w:ascii="Times New Roman" w:hAnsi="Times New Roman" w:eastAsia="Times New Roman"/>
          <w:b/>
          <w:i w:val="0"/>
          <w:sz w:val="22"/>
        </w:rPr>
        <w:t xml:space="preserve">10.4  </w:t>
      </w:r>
      <w:r>
        <w:rPr>
          <w:rFonts w:ascii="Times New Roman" w:hAnsi="Times New Roman" w:eastAsia="Times New Roman"/>
          <w:b w:val="0"/>
          <w:i w:val="0"/>
          <w:sz w:val="22"/>
        </w:rPr>
        <w:t>Kterákoli strana může od smlouvy odstoupit v případě podstatného porušení povinností druhou stranou, pokud porušení není napraveno ani v dodatečné přiměřené lhůtě poskytnuté v písemné výzvě (zpravidla nejméně 15 dnů). Za podstatné porušení se považuje zejména: dlouhodobé neplacení odměny (prodlení &gt; 45 dnů), opakované podstatné porušení SLA, ztráta oprávnění k podnikání Poskytovatele, nebo jednání v hrubém rozporu se stanovami či zákonem.</w:t>
      </w:r>
    </w:p>
    <w:p>
      <w:pPr>
        <w:spacing w:after="80" w:before="40"/>
        <w:ind w:left="283"/>
        <w:jc w:val="both"/>
      </w:pPr>
      <w:r>
        <w:rPr>
          <w:rFonts w:ascii="Times New Roman" w:hAnsi="Times New Roman" w:eastAsia="Times New Roman"/>
          <w:b/>
          <w:i w:val="0"/>
          <w:sz w:val="22"/>
        </w:rPr>
        <w:t xml:space="preserve">10.5  </w:t>
      </w:r>
      <w:r>
        <w:rPr>
          <w:rFonts w:ascii="Times New Roman" w:hAnsi="Times New Roman" w:eastAsia="Times New Roman"/>
          <w:b w:val="0"/>
          <w:i w:val="0"/>
          <w:sz w:val="22"/>
        </w:rPr>
        <w:t>Odstoupení je účinné doručením písemného oznámení druhé straně, nestanoví-li oznámení pozdější účinek. Odstoupením nejsou dotčeny nároky na zaplacení již poskytnutých Služeb ani nároky na náhradu škody.</w:t>
      </w:r>
    </w:p>
    <w:p>
      <w:pPr>
        <w:spacing w:after="80" w:before="40"/>
        <w:ind w:left="283"/>
        <w:jc w:val="both"/>
      </w:pPr>
      <w:r>
        <w:rPr>
          <w:rFonts w:ascii="Times New Roman" w:hAnsi="Times New Roman" w:eastAsia="Times New Roman"/>
          <w:b/>
          <w:i w:val="0"/>
          <w:sz w:val="22"/>
        </w:rPr>
        <w:t xml:space="preserve">10.6  </w:t>
      </w:r>
      <w:r>
        <w:rPr>
          <w:rFonts w:ascii="Times New Roman" w:hAnsi="Times New Roman" w:eastAsia="Times New Roman"/>
          <w:b w:val="0"/>
          <w:i w:val="0"/>
          <w:sz w:val="22"/>
        </w:rPr>
        <w:t>Po ukončení smlouvy strany provedou vypořádání vzájemných závazků a předání agendy podle čl. 11 a Přílohy č. 4.</w:t>
      </w:r>
    </w:p>
    <w:p>
      <w:pPr>
        <w:spacing w:before="360" w:after="200"/>
      </w:pPr>
      <w:r>
        <w:rPr>
          <w:rFonts w:ascii="Times New Roman" w:hAnsi="Times New Roman" w:eastAsia="Times New Roman"/>
          <w:b/>
          <w:i w:val="0"/>
          <w:sz w:val="28"/>
        </w:rPr>
        <w:t>Článek 11 – Předání agendy</w:t>
      </w:r>
    </w:p>
    <w:p>
      <w:pPr>
        <w:spacing w:after="80" w:before="40"/>
        <w:ind w:left="283"/>
        <w:jc w:val="both"/>
      </w:pPr>
      <w:r>
        <w:rPr>
          <w:rFonts w:ascii="Times New Roman" w:hAnsi="Times New Roman" w:eastAsia="Times New Roman"/>
          <w:b/>
          <w:i w:val="0"/>
          <w:sz w:val="22"/>
        </w:rPr>
        <w:t xml:space="preserve">11.1  </w:t>
      </w:r>
      <w:r>
        <w:rPr>
          <w:rFonts w:ascii="Times New Roman" w:hAnsi="Times New Roman" w:eastAsia="Times New Roman"/>
          <w:b w:val="0"/>
          <w:i w:val="0"/>
          <w:sz w:val="22"/>
        </w:rPr>
        <w:t>Při zahájení spolupráce i při ukončení smlouvy strany sepíší Předávací protokol podle vzoru v Příloze č. 4, ve kterém zaznamenají předané dokumenty, přístupy, klíče, smluvní a účetní podklady, hesla/systémy a otevřené záležitosti.</w:t>
      </w:r>
    </w:p>
    <w:p>
      <w:pPr>
        <w:spacing w:after="80" w:before="40"/>
        <w:ind w:left="283"/>
        <w:jc w:val="both"/>
      </w:pPr>
      <w:r>
        <w:rPr>
          <w:rFonts w:ascii="Times New Roman" w:hAnsi="Times New Roman" w:eastAsia="Times New Roman"/>
          <w:b/>
          <w:i w:val="0"/>
          <w:sz w:val="22"/>
        </w:rPr>
        <w:t xml:space="preserve">11.2  </w:t>
      </w:r>
      <w:r>
        <w:rPr>
          <w:rFonts w:ascii="Times New Roman" w:hAnsi="Times New Roman" w:eastAsia="Times New Roman"/>
          <w:b w:val="0"/>
          <w:i w:val="0"/>
          <w:sz w:val="22"/>
        </w:rPr>
        <w:t>Poskytovatel při ukončení smlouvy předá Objednateli (nebo novému správci určenému Objednatelem) veškeré podklady Objednatele, které má u sebe, a to bez zbytečného odkladu, nejpozději do 30 dnů od ukončení smlouvy, není-li dohodnuto jinak. Přístupové údaje Poskytovatele budou zrušeny nebo změněny.</w:t>
      </w:r>
    </w:p>
    <w:p>
      <w:pPr>
        <w:spacing w:after="80" w:before="40"/>
        <w:ind w:left="283"/>
        <w:jc w:val="both"/>
      </w:pPr>
      <w:r>
        <w:rPr>
          <w:rFonts w:ascii="Times New Roman" w:hAnsi="Times New Roman" w:eastAsia="Times New Roman"/>
          <w:b/>
          <w:i w:val="0"/>
          <w:sz w:val="22"/>
        </w:rPr>
        <w:t xml:space="preserve">11.3  </w:t>
      </w:r>
      <w:r>
        <w:rPr>
          <w:rFonts w:ascii="Times New Roman" w:hAnsi="Times New Roman" w:eastAsia="Times New Roman"/>
          <w:b w:val="0"/>
          <w:i w:val="0"/>
          <w:sz w:val="22"/>
        </w:rPr>
        <w:t>Objednatel zajistí součinnost při předání, včetně potvrzení převzetí. Za prodlení způsobené neposkytnutím součinnosti Objednatele Poskytovatel neodpovídá.</w:t>
      </w:r>
    </w:p>
    <w:p>
      <w:pPr>
        <w:spacing w:before="360" w:after="200"/>
      </w:pPr>
      <w:r>
        <w:rPr>
          <w:rFonts w:ascii="Times New Roman" w:hAnsi="Times New Roman" w:eastAsia="Times New Roman"/>
          <w:b/>
          <w:i w:val="0"/>
          <w:sz w:val="28"/>
        </w:rPr>
        <w:t>Článek 12 – Závěrečná ustanovení</w:t>
      </w:r>
    </w:p>
    <w:p>
      <w:pPr>
        <w:spacing w:after="80" w:before="40"/>
        <w:ind w:left="283"/>
        <w:jc w:val="both"/>
      </w:pPr>
      <w:r>
        <w:rPr>
          <w:rFonts w:ascii="Times New Roman" w:hAnsi="Times New Roman" w:eastAsia="Times New Roman"/>
          <w:b/>
          <w:i w:val="0"/>
          <w:sz w:val="22"/>
        </w:rPr>
        <w:t xml:space="preserve">12.1  </w:t>
      </w:r>
      <w:r>
        <w:rPr>
          <w:rFonts w:ascii="Times New Roman" w:hAnsi="Times New Roman" w:eastAsia="Times New Roman"/>
          <w:b w:val="0"/>
          <w:i w:val="0"/>
          <w:sz w:val="22"/>
        </w:rPr>
        <w:t>Tato smlouva se řídí právním řádem České republiky. Sporné otázky se strany pokusí řešit smírně. Nedojde-li ke smíru, je k řešení sporů příslušný soud České republiky podle obecných předpisů o místní příslušnosti.</w:t>
      </w:r>
    </w:p>
    <w:p>
      <w:pPr>
        <w:spacing w:after="80" w:before="40"/>
        <w:ind w:left="283"/>
        <w:jc w:val="both"/>
      </w:pPr>
      <w:r>
        <w:rPr>
          <w:rFonts w:ascii="Times New Roman" w:hAnsi="Times New Roman" w:eastAsia="Times New Roman"/>
          <w:b/>
          <w:i w:val="0"/>
          <w:sz w:val="22"/>
        </w:rPr>
        <w:t xml:space="preserve">12.2  </w:t>
      </w:r>
      <w:r>
        <w:rPr>
          <w:rFonts w:ascii="Times New Roman" w:hAnsi="Times New Roman" w:eastAsia="Times New Roman"/>
          <w:b w:val="0"/>
          <w:i w:val="0"/>
          <w:sz w:val="22"/>
        </w:rPr>
        <w:t>Písemnosti podle této smlouvy se doručují na adresy sídel uvedené v záhlaví, nebo e-mailem na: Poskytovatel – svj@martinpohl.cz; Objednatel – e-mail Výboru [doplní se]. Za doručenou e-mailem se písemnost považuje dnem odeslání, pokud nebyl vrácen chybový report, nebo dnem potvrzení převzetí, podle toho, co nastane dříve. Výpověď a odstoupení se doručují doporučeně na adresu sídla nebo datovou schránkou, je-li zřízena.</w:t>
      </w:r>
    </w:p>
    <w:p>
      <w:pPr>
        <w:spacing w:after="80" w:before="40"/>
        <w:ind w:left="283"/>
        <w:jc w:val="both"/>
      </w:pPr>
      <w:r>
        <w:rPr>
          <w:rFonts w:ascii="Times New Roman" w:hAnsi="Times New Roman" w:eastAsia="Times New Roman"/>
          <w:b/>
          <w:i w:val="0"/>
          <w:sz w:val="22"/>
        </w:rPr>
        <w:t xml:space="preserve">12.3  </w:t>
      </w:r>
      <w:r>
        <w:rPr>
          <w:rFonts w:ascii="Times New Roman" w:hAnsi="Times New Roman" w:eastAsia="Times New Roman"/>
          <w:b w:val="0"/>
          <w:i w:val="0"/>
          <w:sz w:val="22"/>
        </w:rPr>
        <w:t>Změny a doplňky této smlouvy vyžadují písemnou formu (včetně výměny podepsaných PDF e-mailem nebo elektronického podpisu), nestanoví-li smlouva pro konkrétní úkon formu přísnější.</w:t>
      </w:r>
    </w:p>
    <w:p>
      <w:pPr>
        <w:spacing w:after="80" w:before="40"/>
        <w:ind w:left="283"/>
        <w:jc w:val="both"/>
      </w:pPr>
      <w:r>
        <w:rPr>
          <w:rFonts w:ascii="Times New Roman" w:hAnsi="Times New Roman" w:eastAsia="Times New Roman"/>
          <w:b/>
          <w:i w:val="0"/>
          <w:sz w:val="22"/>
        </w:rPr>
        <w:t xml:space="preserve">12.4  </w:t>
      </w:r>
      <w:r>
        <w:rPr>
          <w:rFonts w:ascii="Times New Roman" w:hAnsi="Times New Roman" w:eastAsia="Times New Roman"/>
          <w:b w:val="0"/>
          <w:i w:val="0"/>
          <w:sz w:val="22"/>
        </w:rPr>
        <w:t>Pokud některé ustanovení smlouvy je nebo se stane neplatným či neúčinným, nebude tím dotčena platnost ostatních ustanovení. Strany je nahradí ustanovením s obdobným hospodářským a právním účelem.</w:t>
      </w:r>
    </w:p>
    <w:p>
      <w:pPr>
        <w:spacing w:after="80" w:before="40"/>
        <w:ind w:left="283"/>
        <w:jc w:val="both"/>
      </w:pPr>
      <w:r>
        <w:rPr>
          <w:rFonts w:ascii="Times New Roman" w:hAnsi="Times New Roman" w:eastAsia="Times New Roman"/>
          <w:b/>
          <w:i w:val="0"/>
          <w:sz w:val="22"/>
        </w:rPr>
        <w:t xml:space="preserve">12.5  </w:t>
      </w:r>
      <w:r>
        <w:rPr>
          <w:rFonts w:ascii="Times New Roman" w:hAnsi="Times New Roman" w:eastAsia="Times New Roman"/>
          <w:b w:val="0"/>
          <w:i w:val="0"/>
          <w:sz w:val="22"/>
        </w:rPr>
        <w:t>Tato smlouva nahrazuje veškerá předchozí ujednání stran týkající se předmětu Služeb, nejsou-li výslovně zachována v písemné formě jako nedílná součást.</w:t>
      </w:r>
    </w:p>
    <w:p>
      <w:pPr>
        <w:spacing w:after="80" w:before="40"/>
        <w:ind w:left="283"/>
        <w:jc w:val="both"/>
      </w:pPr>
      <w:r>
        <w:rPr>
          <w:rFonts w:ascii="Times New Roman" w:hAnsi="Times New Roman" w:eastAsia="Times New Roman"/>
          <w:b/>
          <w:i w:val="0"/>
          <w:sz w:val="22"/>
        </w:rPr>
        <w:t xml:space="preserve">12.6  </w:t>
      </w:r>
      <w:r>
        <w:rPr>
          <w:rFonts w:ascii="Times New Roman" w:hAnsi="Times New Roman" w:eastAsia="Times New Roman"/>
          <w:b w:val="0"/>
          <w:i w:val="0"/>
          <w:sz w:val="22"/>
        </w:rPr>
        <w:t>Smlouva je vyhotovena ve 2 (dvou) stejnopisech s platností originálu, z nichž každá strana obdrží po jednom, případně v elektronické podobě podepsané uznávaným elektronickým podpisem / obdobným prostředkem vhodným pro e-signaturu. Přílohy č. 1–6 jsou nedílnou součástí smlouvy.</w:t>
      </w:r>
    </w:p>
    <w:p>
      <w:pPr>
        <w:spacing w:after="80" w:before="40"/>
        <w:ind w:left="283"/>
        <w:jc w:val="both"/>
      </w:pPr>
      <w:r>
        <w:rPr>
          <w:rFonts w:ascii="Times New Roman" w:hAnsi="Times New Roman" w:eastAsia="Times New Roman"/>
          <w:b/>
          <w:i w:val="0"/>
          <w:sz w:val="22"/>
        </w:rPr>
        <w:t xml:space="preserve">12.7  </w:t>
      </w:r>
      <w:r>
        <w:rPr>
          <w:rFonts w:ascii="Times New Roman" w:hAnsi="Times New Roman" w:eastAsia="Times New Roman"/>
          <w:b w:val="0"/>
          <w:i w:val="0"/>
          <w:sz w:val="22"/>
        </w:rPr>
        <w:t>Strany prohlašují, že si smlouvu přečetly, jejímu obsahu rozumí, a že ji uzavírají svobodně a vážně, nikoli v tísni za nápadně nevýhodných podmínek.</w:t>
      </w:r>
    </w:p>
    <w:p>
      <w:r>
        <w:br w:type="page"/>
      </w:r>
    </w:p>
    <w:p>
      <w:pPr>
        <w:spacing w:before="360" w:after="200"/>
      </w:pPr>
      <w:r>
        <w:rPr>
          <w:rFonts w:ascii="Times New Roman" w:hAnsi="Times New Roman" w:eastAsia="Times New Roman"/>
          <w:b/>
          <w:i w:val="0"/>
          <w:sz w:val="28"/>
        </w:rPr>
        <w:t>Podpisy smluvních stran</w:t>
      </w:r>
    </w:p>
    <w:p>
      <w:pPr>
        <w:spacing w:after="240" w:before="0" w:line="276" w:lineRule="auto"/>
        <w:jc w:val="both"/>
      </w:pPr>
      <w:r>
        <w:rPr>
          <w:rFonts w:ascii="Times New Roman" w:hAnsi="Times New Roman" w:eastAsia="Times New Roman"/>
          <w:b w:val="0"/>
          <w:i w:val="0"/>
          <w:sz w:val="22"/>
        </w:rPr>
        <w:t>Na důkaz souhlasu s obsahem této smlouvy připojují smluvní strany své podpisy. Podpisy mohou být připojeny i elektronicky způsobem umožňujícím zachycení identity podepisující osoby a obsahu dokumentu.</w:t>
      </w:r>
    </w:p>
    <w:p>
      <w:pPr>
        <w:spacing w:before="240" w:after="120"/>
      </w:pPr>
      <w:r>
        <w:rPr>
          <w:rFonts w:ascii="Times New Roman" w:hAnsi="Times New Roman" w:eastAsia="Times New Roman"/>
          <w:b/>
          <w:i w:val="0"/>
          <w:sz w:val="24"/>
        </w:rPr>
        <w:t>Za Poskytovatele</w:t>
      </w:r>
    </w:p>
    <w:p>
      <w:pPr>
        <w:spacing w:before="360" w:after="40"/>
      </w:pPr>
      <w:r>
        <w:rPr>
          <w:rFonts w:ascii="Times New Roman" w:hAnsi="Times New Roman" w:eastAsia="Times New Roman"/>
          <w:b w:val="0"/>
          <w:i w:val="0"/>
          <w:sz w:val="22"/>
        </w:rPr>
        <w:t>__________________________________________</w:t>
      </w:r>
    </w:p>
    <w:p>
      <w:pPr>
        <w:spacing w:after="0"/>
      </w:pPr>
      <w:r>
        <w:rPr>
          <w:rFonts w:ascii="Times New Roman" w:hAnsi="Times New Roman" w:eastAsia="Times New Roman"/>
          <w:b/>
          <w:i w:val="0"/>
          <w:sz w:val="22"/>
        </w:rPr>
        <w:t>Bc. Martin Pohl</w:t>
      </w:r>
    </w:p>
    <w:p>
      <w:pPr>
        <w:spacing w:after="40"/>
      </w:pPr>
      <w:r>
        <w:rPr>
          <w:rFonts w:ascii="Times New Roman" w:hAnsi="Times New Roman" w:eastAsia="Times New Roman"/>
          <w:b w:val="0"/>
          <w:i/>
          <w:sz w:val="20"/>
        </w:rPr>
        <w:t>Poskytovatel – Profi Správce SVJ</w:t>
      </w:r>
    </w:p>
    <w:p>
      <w:pPr>
        <w:spacing w:after="160"/>
      </w:pPr>
      <w:r>
        <w:rPr>
          <w:rFonts w:ascii="Times New Roman" w:hAnsi="Times New Roman" w:eastAsia="Times New Roman"/>
          <w:b w:val="0"/>
          <w:i w:val="0"/>
          <w:sz w:val="20"/>
        </w:rPr>
        <w:t>Datum: ______________    Podpis:</w:t>
      </w:r>
    </w:p>
    <w:p>
      <w:pPr>
        <w:spacing w:before="240" w:after="120"/>
      </w:pPr>
      <w:r>
        <w:rPr>
          <w:rFonts w:ascii="Times New Roman" w:hAnsi="Times New Roman" w:eastAsia="Times New Roman"/>
          <w:b/>
          <w:i w:val="0"/>
          <w:sz w:val="24"/>
        </w:rPr>
        <w:t>Za Objednatele – výbor SVJ</w:t>
      </w:r>
    </w:p>
    <w:p>
      <w:pPr>
        <w:spacing w:after="160" w:before="0" w:line="276" w:lineRule="auto"/>
        <w:jc w:val="both"/>
      </w:pPr>
      <w:r>
        <w:rPr>
          <w:rFonts w:ascii="Times New Roman" w:hAnsi="Times New Roman" w:eastAsia="Times New Roman"/>
          <w:b w:val="0"/>
          <w:i/>
          <w:sz w:val="22"/>
        </w:rPr>
        <w:t>[název Společenství vlastníků jednotek]</w:t>
      </w:r>
    </w:p>
    <w:p>
      <w:pPr>
        <w:spacing w:before="360" w:after="40"/>
      </w:pPr>
      <w:r>
        <w:rPr>
          <w:rFonts w:ascii="Times New Roman" w:hAnsi="Times New Roman" w:eastAsia="Times New Roman"/>
          <w:b w:val="0"/>
          <w:i w:val="0"/>
          <w:sz w:val="22"/>
        </w:rPr>
        <w:t>__________________________________________</w:t>
      </w:r>
    </w:p>
    <w:p>
      <w:pPr>
        <w:spacing w:after="0"/>
      </w:pPr>
      <w:r>
        <w:rPr>
          <w:rFonts w:ascii="Times New Roman" w:hAnsi="Times New Roman" w:eastAsia="Times New Roman"/>
          <w:b/>
          <w:i w:val="0"/>
          <w:sz w:val="22"/>
        </w:rPr>
        <w:t>[jméno člena výboru / statutárního orgánu]</w:t>
      </w:r>
    </w:p>
    <w:p>
      <w:pPr>
        <w:spacing w:after="40"/>
      </w:pPr>
      <w:r>
        <w:rPr>
          <w:rFonts w:ascii="Times New Roman" w:hAnsi="Times New Roman" w:eastAsia="Times New Roman"/>
          <w:b w:val="0"/>
          <w:i/>
          <w:sz w:val="20"/>
        </w:rPr>
        <w:t>funkce dle stanov (např. předseda výboru)</w:t>
      </w:r>
    </w:p>
    <w:p>
      <w:pPr>
        <w:spacing w:after="160"/>
      </w:pPr>
      <w:r>
        <w:rPr>
          <w:rFonts w:ascii="Times New Roman" w:hAnsi="Times New Roman" w:eastAsia="Times New Roman"/>
          <w:b w:val="0"/>
          <w:i w:val="0"/>
          <w:sz w:val="20"/>
        </w:rPr>
        <w:t>Datum: ______________    Podpis:</w:t>
      </w:r>
    </w:p>
    <w:p>
      <w:pPr>
        <w:spacing w:before="360" w:after="40"/>
      </w:pPr>
      <w:r>
        <w:rPr>
          <w:rFonts w:ascii="Times New Roman" w:hAnsi="Times New Roman" w:eastAsia="Times New Roman"/>
          <w:b w:val="0"/>
          <w:i w:val="0"/>
          <w:sz w:val="22"/>
        </w:rPr>
        <w:t>__________________________________________</w:t>
      </w:r>
    </w:p>
    <w:p>
      <w:pPr>
        <w:spacing w:after="0"/>
      </w:pPr>
      <w:r>
        <w:rPr>
          <w:rFonts w:ascii="Times New Roman" w:hAnsi="Times New Roman" w:eastAsia="Times New Roman"/>
          <w:b/>
          <w:i w:val="0"/>
          <w:sz w:val="22"/>
        </w:rPr>
        <w:t>[jméno člena výboru / statutárního orgánu]</w:t>
      </w:r>
    </w:p>
    <w:p>
      <w:pPr>
        <w:spacing w:after="40"/>
      </w:pPr>
      <w:r>
        <w:rPr>
          <w:rFonts w:ascii="Times New Roman" w:hAnsi="Times New Roman" w:eastAsia="Times New Roman"/>
          <w:b w:val="0"/>
          <w:i/>
          <w:sz w:val="20"/>
        </w:rPr>
        <w:t>funkce dle stanov</w:t>
      </w:r>
    </w:p>
    <w:p>
      <w:pPr>
        <w:spacing w:after="160"/>
      </w:pPr>
      <w:r>
        <w:rPr>
          <w:rFonts w:ascii="Times New Roman" w:hAnsi="Times New Roman" w:eastAsia="Times New Roman"/>
          <w:b w:val="0"/>
          <w:i w:val="0"/>
          <w:sz w:val="20"/>
        </w:rPr>
        <w:t>Datum: ______________    Podpis:</w:t>
      </w:r>
    </w:p>
    <w:p>
      <w:pPr>
        <w:spacing w:before="360" w:after="40"/>
      </w:pPr>
      <w:r>
        <w:rPr>
          <w:rFonts w:ascii="Times New Roman" w:hAnsi="Times New Roman" w:eastAsia="Times New Roman"/>
          <w:b w:val="0"/>
          <w:i w:val="0"/>
          <w:sz w:val="22"/>
        </w:rPr>
        <w:t>__________________________________________</w:t>
      </w:r>
    </w:p>
    <w:p>
      <w:pPr>
        <w:spacing w:after="0"/>
      </w:pPr>
      <w:r>
        <w:rPr>
          <w:rFonts w:ascii="Times New Roman" w:hAnsi="Times New Roman" w:eastAsia="Times New Roman"/>
          <w:b/>
          <w:i w:val="0"/>
          <w:sz w:val="22"/>
        </w:rPr>
        <w:t>[jméno člena výboru / statutárního orgánu]</w:t>
      </w:r>
    </w:p>
    <w:p>
      <w:pPr>
        <w:spacing w:after="40"/>
      </w:pPr>
      <w:r>
        <w:rPr>
          <w:rFonts w:ascii="Times New Roman" w:hAnsi="Times New Roman" w:eastAsia="Times New Roman"/>
          <w:b w:val="0"/>
          <w:i/>
          <w:sz w:val="20"/>
        </w:rPr>
        <w:t>funkce dle stanov</w:t>
      </w:r>
    </w:p>
    <w:p>
      <w:pPr>
        <w:spacing w:after="160"/>
      </w:pPr>
      <w:r>
        <w:rPr>
          <w:rFonts w:ascii="Times New Roman" w:hAnsi="Times New Roman" w:eastAsia="Times New Roman"/>
          <w:b w:val="0"/>
          <w:i w:val="0"/>
          <w:sz w:val="20"/>
        </w:rPr>
        <w:t>Datum: ______________    Podpis:</w:t>
      </w:r>
    </w:p>
    <w:p>
      <w:pPr>
        <w:spacing w:after="240" w:before="0" w:line="276" w:lineRule="auto"/>
        <w:jc w:val="both"/>
      </w:pPr>
      <w:r>
        <w:rPr>
          <w:rFonts w:ascii="Times New Roman" w:hAnsi="Times New Roman" w:eastAsia="Times New Roman"/>
          <w:b w:val="0"/>
          <w:i/>
          <w:sz w:val="22"/>
        </w:rPr>
        <w:t>Poznámka: Podle stanov Objednatele jedná výbor / statutární orgán způsobem uvedeným ve stanovách; konkrétní způsob zastupování se řídí stanovami a zápisem z příslušného jednání. Počet a funkce podepisujících osob se doplní dle stanov konkrétního SVJ.</w:t>
      </w:r>
    </w:p>
    <w:p>
      <w:r>
        <w:br w:type="page"/>
      </w:r>
    </w:p>
    <w:p>
      <w:pPr>
        <w:spacing w:before="360" w:after="200"/>
      </w:pPr>
      <w:r>
        <w:rPr>
          <w:rFonts w:ascii="Times New Roman" w:hAnsi="Times New Roman" w:eastAsia="Times New Roman"/>
          <w:b/>
          <w:i w:val="0"/>
          <w:sz w:val="28"/>
        </w:rPr>
        <w:t>Příloha č. 1 – Rozsah služeb</w:t>
      </w:r>
    </w:p>
    <w:p>
      <w:pPr>
        <w:spacing w:after="240" w:before="0" w:line="276" w:lineRule="auto"/>
        <w:jc w:val="both"/>
      </w:pPr>
      <w:r>
        <w:rPr>
          <w:rFonts w:ascii="Times New Roman" w:hAnsi="Times New Roman" w:eastAsia="Times New Roman"/>
          <w:b w:val="0"/>
          <w:i/>
          <w:sz w:val="22"/>
        </w:rPr>
        <w:t>ke Smlouvě o poskytování služeb správy SVJ mezi Bc. Martinem Pohlem (Profi Správce SVJ) a [název Společenství vlastníků jednotek]</w:t>
      </w:r>
    </w:p>
    <w:p>
      <w:pPr>
        <w:spacing w:before="240" w:after="120"/>
      </w:pPr>
      <w:r>
        <w:rPr>
          <w:rFonts w:ascii="Times New Roman" w:hAnsi="Times New Roman" w:eastAsia="Times New Roman"/>
          <w:b/>
          <w:i w:val="0"/>
          <w:sz w:val="24"/>
        </w:rPr>
        <w:t>1. Evidence jednotek a vlastníků</w:t>
      </w:r>
    </w:p>
    <w:p>
      <w:pPr>
        <w:spacing w:after="60"/>
        <w:ind w:left="567" w:hanging="227"/>
        <w:jc w:val="both"/>
      </w:pPr>
      <w:r>
        <w:rPr>
          <w:rFonts w:ascii="Times New Roman" w:hAnsi="Times New Roman" w:eastAsia="Times New Roman"/>
          <w:b w:val="0"/>
          <w:i w:val="0"/>
          <w:sz w:val="22"/>
        </w:rPr>
        <w:t>•  Vedení a aktualizace evidence jednotek, spoluvlastnických podílů a kontaktních údajů vlastníků.</w:t>
      </w:r>
    </w:p>
    <w:p>
      <w:pPr>
        <w:spacing w:after="60"/>
        <w:ind w:left="567" w:hanging="227"/>
        <w:jc w:val="both"/>
      </w:pPr>
      <w:r>
        <w:rPr>
          <w:rFonts w:ascii="Times New Roman" w:hAnsi="Times New Roman" w:eastAsia="Times New Roman"/>
          <w:b w:val="0"/>
          <w:i w:val="0"/>
          <w:sz w:val="22"/>
        </w:rPr>
        <w:t>•  Evidence změn vlastnictví na základě podkladů od vlastníků / katastru (v rozsahu dostupných informací).</w:t>
      </w:r>
    </w:p>
    <w:p>
      <w:pPr>
        <w:spacing w:after="60"/>
        <w:ind w:left="567" w:hanging="227"/>
        <w:jc w:val="both"/>
      </w:pPr>
      <w:r>
        <w:rPr>
          <w:rFonts w:ascii="Times New Roman" w:hAnsi="Times New Roman" w:eastAsia="Times New Roman"/>
          <w:b w:val="0"/>
          <w:i w:val="0"/>
          <w:sz w:val="22"/>
        </w:rPr>
        <w:t>•  Správa kontaktů pro doručování a komunikaci SVJ.</w:t>
      </w:r>
    </w:p>
    <w:p>
      <w:pPr>
        <w:spacing w:before="240" w:after="120"/>
      </w:pPr>
      <w:r>
        <w:rPr>
          <w:rFonts w:ascii="Times New Roman" w:hAnsi="Times New Roman" w:eastAsia="Times New Roman"/>
          <w:b/>
          <w:i w:val="0"/>
          <w:sz w:val="24"/>
        </w:rPr>
        <w:t>2. Účetnictví a evidence hospodaření</w:t>
      </w:r>
    </w:p>
    <w:p>
      <w:pPr>
        <w:spacing w:after="60"/>
        <w:ind w:left="567" w:hanging="227"/>
        <w:jc w:val="both"/>
      </w:pPr>
      <w:r>
        <w:rPr>
          <w:rFonts w:ascii="Times New Roman" w:hAnsi="Times New Roman" w:eastAsia="Times New Roman"/>
          <w:b w:val="0"/>
          <w:i w:val="0"/>
          <w:sz w:val="22"/>
        </w:rPr>
        <w:t>•  Vedení účetnictví SVJ / evidence hospodaření v rozsahu obvyklém pro SVJ dané velikosti, není-li dohodnuto využití externího účetního.</w:t>
      </w:r>
    </w:p>
    <w:p>
      <w:pPr>
        <w:spacing w:after="60"/>
        <w:ind w:left="567" w:hanging="227"/>
        <w:jc w:val="both"/>
      </w:pPr>
      <w:r>
        <w:rPr>
          <w:rFonts w:ascii="Times New Roman" w:hAnsi="Times New Roman" w:eastAsia="Times New Roman"/>
          <w:b w:val="0"/>
          <w:i w:val="0"/>
          <w:sz w:val="22"/>
        </w:rPr>
        <w:t>•  Sledování příjmů a výdajů, bankovních pohybů a stavu fondů (zejména fondu oprav), v součinnosti s Výborem.</w:t>
      </w:r>
    </w:p>
    <w:p>
      <w:pPr>
        <w:spacing w:after="60"/>
        <w:ind w:left="567" w:hanging="227"/>
        <w:jc w:val="both"/>
      </w:pPr>
      <w:r>
        <w:rPr>
          <w:rFonts w:ascii="Times New Roman" w:hAnsi="Times New Roman" w:eastAsia="Times New Roman"/>
          <w:b w:val="0"/>
          <w:i w:val="0"/>
          <w:sz w:val="22"/>
        </w:rPr>
        <w:t>•  Příprava podkladů pro daňové povinnosti SVJ a spolupráce s případným daňovým poradcem Objednatele.</w:t>
      </w:r>
    </w:p>
    <w:p>
      <w:pPr>
        <w:spacing w:after="60"/>
        <w:ind w:left="567" w:hanging="227"/>
        <w:jc w:val="both"/>
      </w:pPr>
      <w:r>
        <w:rPr>
          <w:rFonts w:ascii="Times New Roman" w:hAnsi="Times New Roman" w:eastAsia="Times New Roman"/>
          <w:b w:val="0"/>
          <w:i w:val="0"/>
          <w:sz w:val="22"/>
        </w:rPr>
        <w:t>•  Archivace účetních dokladů v elektronické a/nebo listinné podobě dle dohody.</w:t>
      </w:r>
    </w:p>
    <w:p>
      <w:pPr>
        <w:spacing w:before="240" w:after="120"/>
      </w:pPr>
      <w:r>
        <w:rPr>
          <w:rFonts w:ascii="Times New Roman" w:hAnsi="Times New Roman" w:eastAsia="Times New Roman"/>
          <w:b/>
          <w:i w:val="0"/>
          <w:sz w:val="24"/>
        </w:rPr>
        <w:t>3. Rozpočet a vyúčtování služeb</w:t>
      </w:r>
    </w:p>
    <w:p>
      <w:pPr>
        <w:spacing w:after="60"/>
        <w:ind w:left="567" w:hanging="227"/>
        <w:jc w:val="both"/>
      </w:pPr>
      <w:r>
        <w:rPr>
          <w:rFonts w:ascii="Times New Roman" w:hAnsi="Times New Roman" w:eastAsia="Times New Roman"/>
          <w:b w:val="0"/>
          <w:i w:val="0"/>
          <w:sz w:val="22"/>
        </w:rPr>
        <w:t>•  Příprava návrhu rozpočtu SVJ na příslušné období a jeho předložení Výboru / shromáždění.</w:t>
      </w:r>
    </w:p>
    <w:p>
      <w:pPr>
        <w:spacing w:after="60"/>
        <w:ind w:left="567" w:hanging="227"/>
        <w:jc w:val="both"/>
      </w:pPr>
      <w:r>
        <w:rPr>
          <w:rFonts w:ascii="Times New Roman" w:hAnsi="Times New Roman" w:eastAsia="Times New Roman"/>
          <w:b w:val="0"/>
          <w:i w:val="0"/>
          <w:sz w:val="22"/>
        </w:rPr>
        <w:t>•  Sledování čerpání rozpočtu a informování Výboru o podstatných odchylkách.</w:t>
      </w:r>
    </w:p>
    <w:p>
      <w:pPr>
        <w:spacing w:after="60"/>
        <w:ind w:left="567" w:hanging="227"/>
        <w:jc w:val="both"/>
      </w:pPr>
      <w:r>
        <w:rPr>
          <w:rFonts w:ascii="Times New Roman" w:hAnsi="Times New Roman" w:eastAsia="Times New Roman"/>
          <w:b w:val="0"/>
          <w:i w:val="0"/>
          <w:sz w:val="22"/>
        </w:rPr>
        <w:t>•  Zajištění nebo koordinace ročního vyúčtování služeb spojených s užíváním jednotek vůči vlastníkům; vyúčtování se zpracovává ve struktuře dle Přílohy č. 6 (nebo v ekvivalentním formátu poskytujícím stejné informace).</w:t>
      </w:r>
    </w:p>
    <w:p>
      <w:pPr>
        <w:spacing w:after="60"/>
        <w:ind w:left="567" w:hanging="227"/>
        <w:jc w:val="both"/>
      </w:pPr>
      <w:r>
        <w:rPr>
          <w:rFonts w:ascii="Times New Roman" w:hAnsi="Times New Roman" w:eastAsia="Times New Roman"/>
          <w:b w:val="0"/>
          <w:i w:val="0"/>
          <w:sz w:val="22"/>
        </w:rPr>
        <w:t>•  Komunikace s vlastníky k výhradám k vyúčtování a příprava podkladů k vypořádání.</w:t>
      </w:r>
    </w:p>
    <w:p>
      <w:pPr>
        <w:spacing w:before="240" w:after="120"/>
      </w:pPr>
      <w:r>
        <w:rPr>
          <w:rFonts w:ascii="Times New Roman" w:hAnsi="Times New Roman" w:eastAsia="Times New Roman"/>
          <w:b/>
          <w:i w:val="0"/>
          <w:sz w:val="24"/>
        </w:rPr>
        <w:t>4. Správa pohledávek</w:t>
      </w:r>
    </w:p>
    <w:p>
      <w:pPr>
        <w:spacing w:after="60"/>
        <w:ind w:left="567" w:hanging="227"/>
        <w:jc w:val="both"/>
      </w:pPr>
      <w:r>
        <w:rPr>
          <w:rFonts w:ascii="Times New Roman" w:hAnsi="Times New Roman" w:eastAsia="Times New Roman"/>
          <w:b w:val="0"/>
          <w:i w:val="0"/>
          <w:sz w:val="22"/>
        </w:rPr>
        <w:t>•  Evidence předpisů a úhrad příspěvků na správu domu a záloh na služby.</w:t>
      </w:r>
    </w:p>
    <w:p>
      <w:pPr>
        <w:spacing w:after="60"/>
        <w:ind w:left="567" w:hanging="227"/>
        <w:jc w:val="both"/>
      </w:pPr>
      <w:r>
        <w:rPr>
          <w:rFonts w:ascii="Times New Roman" w:hAnsi="Times New Roman" w:eastAsia="Times New Roman"/>
          <w:b w:val="0"/>
          <w:i w:val="0"/>
          <w:sz w:val="22"/>
        </w:rPr>
        <w:t>•  Včasné upozorňování dlužníků (upomínky) podle dohodnutého procesu s Výborem.</w:t>
      </w:r>
    </w:p>
    <w:p>
      <w:pPr>
        <w:spacing w:after="60"/>
        <w:ind w:left="567" w:hanging="227"/>
        <w:jc w:val="both"/>
      </w:pPr>
      <w:r>
        <w:rPr>
          <w:rFonts w:ascii="Times New Roman" w:hAnsi="Times New Roman" w:eastAsia="Times New Roman"/>
          <w:b w:val="0"/>
          <w:i w:val="0"/>
          <w:sz w:val="22"/>
        </w:rPr>
        <w:t>•  Příprava podkladů pro další vymáhání (předání právnímu zástupci Objednatele); samotné soudní vymáhání není součástí základního paušálu, nestanoví-li Ceník jinak.</w:t>
      </w:r>
    </w:p>
    <w:p>
      <w:pPr>
        <w:spacing w:before="240" w:after="120"/>
      </w:pPr>
      <w:r>
        <w:rPr>
          <w:rFonts w:ascii="Times New Roman" w:hAnsi="Times New Roman" w:eastAsia="Times New Roman"/>
          <w:b/>
          <w:i w:val="0"/>
          <w:sz w:val="24"/>
        </w:rPr>
        <w:t>5. Shromáždění a jednání výboru</w:t>
      </w:r>
    </w:p>
    <w:p>
      <w:pPr>
        <w:spacing w:after="60"/>
        <w:ind w:left="567" w:hanging="227"/>
        <w:jc w:val="both"/>
      </w:pPr>
      <w:r>
        <w:rPr>
          <w:rFonts w:ascii="Times New Roman" w:hAnsi="Times New Roman" w:eastAsia="Times New Roman"/>
          <w:b w:val="0"/>
          <w:i w:val="0"/>
          <w:sz w:val="22"/>
        </w:rPr>
        <w:t>•  Organizační příprava řádného shromáždění vlastníků (pozvánky, podklady, prezenční listina) podle stanov a pokynů Výboru.</w:t>
      </w:r>
    </w:p>
    <w:p>
      <w:pPr>
        <w:spacing w:after="60"/>
        <w:ind w:left="567" w:hanging="227"/>
        <w:jc w:val="both"/>
      </w:pPr>
      <w:r>
        <w:rPr>
          <w:rFonts w:ascii="Times New Roman" w:hAnsi="Times New Roman" w:eastAsia="Times New Roman"/>
          <w:b w:val="0"/>
          <w:i w:val="0"/>
          <w:sz w:val="22"/>
        </w:rPr>
        <w:t>•  Účast Poskytovatele na shromáždění a jednání Výboru v dohodnutém rozsahu; pořízení nebo součinnost při pořízení zápisu.</w:t>
      </w:r>
    </w:p>
    <w:p>
      <w:pPr>
        <w:spacing w:after="60"/>
        <w:ind w:left="567" w:hanging="227"/>
        <w:jc w:val="both"/>
      </w:pPr>
      <w:r>
        <w:rPr>
          <w:rFonts w:ascii="Times New Roman" w:hAnsi="Times New Roman" w:eastAsia="Times New Roman"/>
          <w:b w:val="0"/>
          <w:i w:val="0"/>
          <w:sz w:val="22"/>
        </w:rPr>
        <w:t>•  Mimořádné shromáždění – dle Ceníku / individuální dohody.</w:t>
      </w:r>
    </w:p>
    <w:p>
      <w:pPr>
        <w:spacing w:before="240" w:after="120"/>
      </w:pPr>
      <w:r>
        <w:rPr>
          <w:rFonts w:ascii="Times New Roman" w:hAnsi="Times New Roman" w:eastAsia="Times New Roman"/>
          <w:b/>
          <w:i w:val="0"/>
          <w:sz w:val="24"/>
        </w:rPr>
        <w:t>6. Komunikace s vlastníky</w:t>
      </w:r>
    </w:p>
    <w:p>
      <w:pPr>
        <w:spacing w:after="60"/>
        <w:ind w:left="567" w:hanging="227"/>
        <w:jc w:val="both"/>
      </w:pPr>
      <w:r>
        <w:rPr>
          <w:rFonts w:ascii="Times New Roman" w:hAnsi="Times New Roman" w:eastAsia="Times New Roman"/>
          <w:b w:val="0"/>
          <w:i w:val="0"/>
          <w:sz w:val="22"/>
        </w:rPr>
        <w:t>•  Vyřizování běžných dotazů vlastníků týkajících se správy v rámci SLA.</w:t>
      </w:r>
    </w:p>
    <w:p>
      <w:pPr>
        <w:spacing w:after="60"/>
        <w:ind w:left="567" w:hanging="227"/>
        <w:jc w:val="both"/>
      </w:pPr>
      <w:r>
        <w:rPr>
          <w:rFonts w:ascii="Times New Roman" w:hAnsi="Times New Roman" w:eastAsia="Times New Roman"/>
          <w:b w:val="0"/>
          <w:i w:val="0"/>
          <w:sz w:val="22"/>
        </w:rPr>
        <w:t>•  Zveřejňování / rozesílání informací schválených Výborem (např. oznámení o odstávkách, důležitá usnesení).</w:t>
      </w:r>
    </w:p>
    <w:p>
      <w:pPr>
        <w:spacing w:after="60"/>
        <w:ind w:left="567" w:hanging="227"/>
        <w:jc w:val="both"/>
      </w:pPr>
      <w:r>
        <w:rPr>
          <w:rFonts w:ascii="Times New Roman" w:hAnsi="Times New Roman" w:eastAsia="Times New Roman"/>
          <w:b w:val="0"/>
          <w:i w:val="0"/>
          <w:sz w:val="22"/>
        </w:rPr>
        <w:t>•  Případný online přístup / klientský portál – pokud je Poskytovatelem nabízen a Objednatelem využíván ([doplní se odkaz / systém]).</w:t>
      </w:r>
    </w:p>
    <w:p>
      <w:pPr>
        <w:spacing w:before="240" w:after="120"/>
      </w:pPr>
      <w:r>
        <w:rPr>
          <w:rFonts w:ascii="Times New Roman" w:hAnsi="Times New Roman" w:eastAsia="Times New Roman"/>
          <w:b/>
          <w:i w:val="0"/>
          <w:sz w:val="24"/>
        </w:rPr>
        <w:t>7. Smlouvy s dodavateli</w:t>
      </w:r>
    </w:p>
    <w:p>
      <w:pPr>
        <w:spacing w:after="60"/>
        <w:ind w:left="567" w:hanging="227"/>
        <w:jc w:val="both"/>
      </w:pPr>
      <w:r>
        <w:rPr>
          <w:rFonts w:ascii="Times New Roman" w:hAnsi="Times New Roman" w:eastAsia="Times New Roman"/>
          <w:b w:val="0"/>
          <w:i w:val="0"/>
          <w:sz w:val="22"/>
        </w:rPr>
        <w:t>•  Evidence smluv Objednatele s dodavateli energií, služeb, údržby a pojištění.</w:t>
      </w:r>
    </w:p>
    <w:p>
      <w:pPr>
        <w:spacing w:after="60"/>
        <w:ind w:left="567" w:hanging="227"/>
        <w:jc w:val="both"/>
      </w:pPr>
      <w:r>
        <w:rPr>
          <w:rFonts w:ascii="Times New Roman" w:hAnsi="Times New Roman" w:eastAsia="Times New Roman"/>
          <w:b w:val="0"/>
          <w:i w:val="0"/>
          <w:sz w:val="22"/>
        </w:rPr>
        <w:t>•  Příprava podkladů k výběru dodavatelů, porovnání nabídek a doporučení Výboru.</w:t>
      </w:r>
    </w:p>
    <w:p>
      <w:pPr>
        <w:spacing w:after="60"/>
        <w:ind w:left="567" w:hanging="227"/>
        <w:jc w:val="both"/>
      </w:pPr>
      <w:r>
        <w:rPr>
          <w:rFonts w:ascii="Times New Roman" w:hAnsi="Times New Roman" w:eastAsia="Times New Roman"/>
          <w:b w:val="0"/>
          <w:i w:val="0"/>
          <w:sz w:val="22"/>
        </w:rPr>
        <w:t>•  Kontrola plnění smluv ze strany dodavatelů v rozsahu obvyklé správy; eskalace vad Výboru.</w:t>
      </w:r>
    </w:p>
    <w:p>
      <w:pPr>
        <w:spacing w:before="240" w:after="120"/>
      </w:pPr>
      <w:r>
        <w:rPr>
          <w:rFonts w:ascii="Times New Roman" w:hAnsi="Times New Roman" w:eastAsia="Times New Roman"/>
          <w:b/>
          <w:i w:val="0"/>
          <w:sz w:val="24"/>
        </w:rPr>
        <w:t>8. Technická správa – koordinace</w:t>
      </w:r>
    </w:p>
    <w:p>
      <w:pPr>
        <w:spacing w:after="60"/>
        <w:ind w:left="567" w:hanging="227"/>
        <w:jc w:val="both"/>
      </w:pPr>
      <w:r>
        <w:rPr>
          <w:rFonts w:ascii="Times New Roman" w:hAnsi="Times New Roman" w:eastAsia="Times New Roman"/>
          <w:b w:val="0"/>
          <w:i w:val="0"/>
          <w:sz w:val="22"/>
        </w:rPr>
        <w:t>•  Koordinace běžných oprav a údržby společných částí v rámci schválených limitů.</w:t>
      </w:r>
    </w:p>
    <w:p>
      <w:pPr>
        <w:spacing w:after="60"/>
        <w:ind w:left="567" w:hanging="227"/>
        <w:jc w:val="both"/>
      </w:pPr>
      <w:r>
        <w:rPr>
          <w:rFonts w:ascii="Times New Roman" w:hAnsi="Times New Roman" w:eastAsia="Times New Roman"/>
          <w:b w:val="0"/>
          <w:i w:val="0"/>
          <w:sz w:val="22"/>
        </w:rPr>
        <w:t>•  Příjem hlášení závad a havárií, zajištění výjezdu dodavatele / havarijní služby.</w:t>
      </w:r>
    </w:p>
    <w:p>
      <w:pPr>
        <w:spacing w:after="60"/>
        <w:ind w:left="567" w:hanging="227"/>
        <w:jc w:val="both"/>
      </w:pPr>
      <w:r>
        <w:rPr>
          <w:rFonts w:ascii="Times New Roman" w:hAnsi="Times New Roman" w:eastAsia="Times New Roman"/>
          <w:b w:val="0"/>
          <w:i w:val="0"/>
          <w:sz w:val="22"/>
        </w:rPr>
        <w:t>•  Spolupráce při plánování větších oprav a rekonstrukcí; stavební dozor / technický dozor investora není součástí základního paušálu (viz Ceník).</w:t>
      </w:r>
    </w:p>
    <w:p>
      <w:pPr>
        <w:spacing w:after="60"/>
        <w:ind w:left="567" w:hanging="227"/>
        <w:jc w:val="both"/>
      </w:pPr>
      <w:r>
        <w:rPr>
          <w:rFonts w:ascii="Times New Roman" w:hAnsi="Times New Roman" w:eastAsia="Times New Roman"/>
          <w:b w:val="0"/>
          <w:i w:val="0"/>
          <w:sz w:val="22"/>
        </w:rPr>
        <w:t>•  Finanční limity samostatného jednání Poskytovatele u oprav bez předchozího schválení Výboru: [doplní se] Kč bez DPH za jednotlivý případ, s výjimkou havárií ohrožujících zdraví či majetek.</w:t>
      </w:r>
    </w:p>
    <w:p>
      <w:pPr>
        <w:spacing w:before="240" w:after="120"/>
      </w:pPr>
      <w:r>
        <w:rPr>
          <w:rFonts w:ascii="Times New Roman" w:hAnsi="Times New Roman" w:eastAsia="Times New Roman"/>
          <w:b/>
          <w:i w:val="0"/>
          <w:sz w:val="24"/>
        </w:rPr>
        <w:t>9. Pojištění budovy</w:t>
      </w:r>
    </w:p>
    <w:p>
      <w:pPr>
        <w:spacing w:after="60"/>
        <w:ind w:left="567" w:hanging="227"/>
        <w:jc w:val="both"/>
      </w:pPr>
      <w:r>
        <w:rPr>
          <w:rFonts w:ascii="Times New Roman" w:hAnsi="Times New Roman" w:eastAsia="Times New Roman"/>
          <w:b w:val="0"/>
          <w:i w:val="0"/>
          <w:sz w:val="22"/>
        </w:rPr>
        <w:t>•  Evidence pojistné smlouvy budovy, hlášení změn relevantních pro pojištění, součinnost při pojistných událostech.</w:t>
      </w:r>
    </w:p>
    <w:p>
      <w:pPr>
        <w:spacing w:after="60"/>
        <w:ind w:left="567" w:hanging="227"/>
        <w:jc w:val="both"/>
      </w:pPr>
      <w:r>
        <w:rPr>
          <w:rFonts w:ascii="Times New Roman" w:hAnsi="Times New Roman" w:eastAsia="Times New Roman"/>
          <w:b w:val="0"/>
          <w:i w:val="0"/>
          <w:sz w:val="22"/>
        </w:rPr>
        <w:t>•  Připomínání výročí a návrh na aktualizaci pojistných částek po konzultaci s Výborem.</w:t>
      </w:r>
    </w:p>
    <w:p>
      <w:pPr>
        <w:spacing w:before="240" w:after="120"/>
      </w:pPr>
      <w:r>
        <w:rPr>
          <w:rFonts w:ascii="Times New Roman" w:hAnsi="Times New Roman" w:eastAsia="Times New Roman"/>
          <w:b/>
          <w:i w:val="0"/>
          <w:sz w:val="24"/>
        </w:rPr>
        <w:t>10. Archivace a zastupování</w:t>
      </w:r>
    </w:p>
    <w:p>
      <w:pPr>
        <w:spacing w:after="60"/>
        <w:ind w:left="567" w:hanging="227"/>
        <w:jc w:val="both"/>
      </w:pPr>
      <w:r>
        <w:rPr>
          <w:rFonts w:ascii="Times New Roman" w:hAnsi="Times New Roman" w:eastAsia="Times New Roman"/>
          <w:b w:val="0"/>
          <w:i w:val="0"/>
          <w:sz w:val="22"/>
        </w:rPr>
        <w:t>•  Archivace klíčových dokumentů SVJ (stanovy, zápisy, smlouvy, vyúčtování) po dobu trvání smlouvy a předání při ukončení.</w:t>
      </w:r>
    </w:p>
    <w:p>
      <w:pPr>
        <w:spacing w:after="60"/>
        <w:ind w:left="567" w:hanging="227"/>
        <w:jc w:val="both"/>
      </w:pPr>
      <w:r>
        <w:rPr>
          <w:rFonts w:ascii="Times New Roman" w:hAnsi="Times New Roman" w:eastAsia="Times New Roman"/>
          <w:b w:val="0"/>
          <w:i w:val="0"/>
          <w:sz w:val="22"/>
        </w:rPr>
        <w:t>•  Zastupování Objednatele vůči úřadům a třetím osobám v běžných věcech správy na základě pokynu / plné moci Výboru.</w:t>
      </w:r>
    </w:p>
    <w:p>
      <w:pPr>
        <w:spacing w:after="60"/>
        <w:ind w:left="567" w:hanging="227"/>
        <w:jc w:val="both"/>
      </w:pPr>
      <w:r>
        <w:rPr>
          <w:rFonts w:ascii="Times New Roman" w:hAnsi="Times New Roman" w:eastAsia="Times New Roman"/>
          <w:b w:val="0"/>
          <w:i w:val="0"/>
          <w:sz w:val="22"/>
        </w:rPr>
        <w:t>•  Právní zastoupení ve sporech zajišťuje samostatně advokát Objednatele; Poskytovatel poskytuje součinnost a podklady.</w:t>
      </w:r>
    </w:p>
    <w:p>
      <w:pPr>
        <w:spacing w:after="160" w:before="0" w:line="276" w:lineRule="auto"/>
        <w:jc w:val="both"/>
      </w:pPr>
      <w:r>
        <w:rPr>
          <w:rFonts w:ascii="Times New Roman" w:hAnsi="Times New Roman" w:eastAsia="Times New Roman"/>
          <w:b w:val="0"/>
          <w:i/>
          <w:sz w:val="22"/>
        </w:rPr>
        <w:t>Rozsah Služeb může být upraven písemným dodatkem nebo aktualizací této přílohy podepsané oběma stranami.</w:t>
      </w:r>
    </w:p>
    <w:p>
      <w:r>
        <w:br w:type="page"/>
      </w:r>
    </w:p>
    <w:p>
      <w:pPr>
        <w:spacing w:before="360" w:after="200"/>
      </w:pPr>
      <w:r>
        <w:rPr>
          <w:rFonts w:ascii="Times New Roman" w:hAnsi="Times New Roman" w:eastAsia="Times New Roman"/>
          <w:b/>
          <w:i w:val="0"/>
          <w:sz w:val="28"/>
        </w:rPr>
        <w:t>Příloha č. 2 – SLA (úrovně služeb a reakční doby)</w:t>
      </w:r>
    </w:p>
    <w:p>
      <w:pPr>
        <w:spacing w:after="240" w:before="0" w:line="276" w:lineRule="auto"/>
        <w:jc w:val="both"/>
      </w:pPr>
      <w:r>
        <w:rPr>
          <w:rFonts w:ascii="Times New Roman" w:hAnsi="Times New Roman" w:eastAsia="Times New Roman"/>
          <w:b w:val="0"/>
          <w:i/>
          <w:sz w:val="22"/>
        </w:rPr>
        <w:t>ke Vzoru smlouvy o poskytování služeb správy SVJ – Profi Správce SVJ / vzor</w:t>
      </w:r>
    </w:p>
    <w:p>
      <w:pPr>
        <w:spacing w:before="240" w:after="120"/>
      </w:pPr>
      <w:r>
        <w:rPr>
          <w:rFonts w:ascii="Times New Roman" w:hAnsi="Times New Roman" w:eastAsia="Times New Roman"/>
          <w:b/>
          <w:i w:val="0"/>
          <w:sz w:val="24"/>
        </w:rPr>
        <w:t>1. Kontaktní kanály</w:t>
      </w:r>
    </w:p>
    <w:p>
      <w:pPr>
        <w:spacing w:after="60"/>
        <w:ind w:left="567" w:hanging="227"/>
        <w:jc w:val="both"/>
      </w:pPr>
      <w:r>
        <w:rPr>
          <w:rFonts w:ascii="Times New Roman" w:hAnsi="Times New Roman" w:eastAsia="Times New Roman"/>
          <w:b w:val="0"/>
          <w:i w:val="0"/>
          <w:sz w:val="22"/>
        </w:rPr>
        <w:t>•  Telefon: +420 777 441 416</w:t>
      </w:r>
    </w:p>
    <w:p>
      <w:pPr>
        <w:spacing w:after="60"/>
        <w:ind w:left="567" w:hanging="227"/>
        <w:jc w:val="both"/>
      </w:pPr>
      <w:r>
        <w:rPr>
          <w:rFonts w:ascii="Times New Roman" w:hAnsi="Times New Roman" w:eastAsia="Times New Roman"/>
          <w:b w:val="0"/>
          <w:i w:val="0"/>
          <w:sz w:val="22"/>
        </w:rPr>
        <w:t>•  E-mail: svj@martinpohl.cz</w:t>
      </w:r>
    </w:p>
    <w:p>
      <w:pPr>
        <w:spacing w:after="60"/>
        <w:ind w:left="567" w:hanging="227"/>
        <w:jc w:val="both"/>
      </w:pPr>
      <w:r>
        <w:rPr>
          <w:rFonts w:ascii="Times New Roman" w:hAnsi="Times New Roman" w:eastAsia="Times New Roman"/>
          <w:b w:val="0"/>
          <w:i w:val="0"/>
          <w:sz w:val="22"/>
        </w:rPr>
        <w:t>•  Další kanál (portál / chat): [doplní se], pokud je zřízen.</w:t>
      </w:r>
    </w:p>
    <w:p>
      <w:pPr>
        <w:spacing w:after="160" w:before="0" w:line="276" w:lineRule="auto"/>
        <w:jc w:val="both"/>
      </w:pPr>
      <w:r>
        <w:rPr>
          <w:rFonts w:ascii="Times New Roman" w:hAnsi="Times New Roman" w:eastAsia="Times New Roman"/>
          <w:b w:val="0"/>
          <w:i w:val="0"/>
          <w:sz w:val="22"/>
        </w:rPr>
        <w:t>Běžná dostupnost telefonu a e-mailu: pracovní dny 9:00–17:00 (SEČ/SELČ). Mimo tuto dobu Poskytovatel přijímá hlášení havárií na telefonu; reakce probíhá podle kategorie níže.</w:t>
      </w:r>
    </w:p>
    <w:p>
      <w:pPr>
        <w:spacing w:before="240" w:after="120"/>
      </w:pPr>
      <w:r>
        <w:rPr>
          <w:rFonts w:ascii="Times New Roman" w:hAnsi="Times New Roman" w:eastAsia="Times New Roman"/>
          <w:b/>
          <w:i w:val="0"/>
          <w:sz w:val="24"/>
        </w:rPr>
        <w:t>2. Kategorie požadavků a reakční doby</w:t>
      </w:r>
    </w:p>
    <w:tbl>
      <w:tblPr>
        <w:tblStyle w:val="TableGrid"/>
        <w:tblW w:type="auto" w:w="0"/>
        <w:jc w:val="center"/>
        <w:tblLook w:firstColumn="1" w:firstRow="1" w:lastColumn="0" w:lastRow="0" w:noHBand="0" w:noVBand="1" w:val="04A0"/>
      </w:tblPr>
      <w:tblGrid>
        <w:gridCol w:w="3118"/>
        <w:gridCol w:w="3118"/>
        <w:gridCol w:w="3118"/>
      </w:tblGrid>
      <w:tr>
        <w:tc>
          <w:tcPr>
            <w:tcW w:type="dxa" w:w="3118"/>
          </w:tcPr>
          <w:p>
            <w:r/>
            <w:r>
              <w:rPr>
                <w:rFonts w:ascii="Times New Roman" w:hAnsi="Times New Roman" w:eastAsia="Times New Roman"/>
                <w:b/>
                <w:i w:val="0"/>
                <w:sz w:val="20"/>
              </w:rPr>
              <w:t>Kategorie</w:t>
            </w:r>
          </w:p>
        </w:tc>
        <w:tc>
          <w:tcPr>
            <w:tcW w:type="dxa" w:w="3118"/>
          </w:tcPr>
          <w:p>
            <w:r/>
            <w:r>
              <w:rPr>
                <w:rFonts w:ascii="Times New Roman" w:hAnsi="Times New Roman" w:eastAsia="Times New Roman"/>
                <w:b/>
                <w:i w:val="0"/>
                <w:sz w:val="20"/>
              </w:rPr>
              <w:t>Popis</w:t>
            </w:r>
          </w:p>
        </w:tc>
        <w:tc>
          <w:tcPr>
            <w:tcW w:type="dxa" w:w="3118"/>
          </w:tcPr>
          <w:p>
            <w:r/>
            <w:r>
              <w:rPr>
                <w:rFonts w:ascii="Times New Roman" w:hAnsi="Times New Roman" w:eastAsia="Times New Roman"/>
                <w:b/>
                <w:i w:val="0"/>
                <w:sz w:val="20"/>
              </w:rPr>
              <w:t>Reakční doba*</w:t>
            </w:r>
          </w:p>
        </w:tc>
      </w:tr>
      <w:tr>
        <w:tc>
          <w:tcPr>
            <w:tcW w:type="dxa" w:w="3118"/>
          </w:tcPr>
          <w:p>
            <w:r/>
            <w:r>
              <w:rPr>
                <w:rFonts w:ascii="Times New Roman" w:hAnsi="Times New Roman" w:eastAsia="Times New Roman"/>
                <w:b w:val="0"/>
                <w:i w:val="0"/>
                <w:sz w:val="18"/>
              </w:rPr>
              <w:t>Havárie / kritická</w:t>
            </w:r>
          </w:p>
        </w:tc>
        <w:tc>
          <w:tcPr>
            <w:tcW w:type="dxa" w:w="3118"/>
          </w:tcPr>
          <w:p>
            <w:r/>
            <w:r>
              <w:rPr>
                <w:rFonts w:ascii="Times New Roman" w:hAnsi="Times New Roman" w:eastAsia="Times New Roman"/>
                <w:b w:val="0"/>
                <w:i w:val="0"/>
                <w:sz w:val="18"/>
              </w:rPr>
              <w:t>Ohrožení zdraví, majetku, závažný únik médií, výpadek klíčové technologie</w:t>
            </w:r>
          </w:p>
        </w:tc>
        <w:tc>
          <w:tcPr>
            <w:tcW w:type="dxa" w:w="3118"/>
          </w:tcPr>
          <w:p>
            <w:r/>
            <w:r>
              <w:rPr>
                <w:rFonts w:ascii="Times New Roman" w:hAnsi="Times New Roman" w:eastAsia="Times New Roman"/>
                <w:b w:val="0"/>
                <w:i w:val="0"/>
                <w:sz w:val="18"/>
              </w:rPr>
              <w:t>do 2 hodin od nahlášení (i mimo pracovní dobu)</w:t>
            </w:r>
          </w:p>
        </w:tc>
      </w:tr>
      <w:tr>
        <w:tc>
          <w:tcPr>
            <w:tcW w:type="dxa" w:w="3118"/>
          </w:tcPr>
          <w:p>
            <w:r/>
            <w:r>
              <w:rPr>
                <w:rFonts w:ascii="Times New Roman" w:hAnsi="Times New Roman" w:eastAsia="Times New Roman"/>
                <w:b w:val="0"/>
                <w:i w:val="0"/>
                <w:sz w:val="18"/>
              </w:rPr>
              <w:t>Urgentní</w:t>
            </w:r>
          </w:p>
        </w:tc>
        <w:tc>
          <w:tcPr>
            <w:tcW w:type="dxa" w:w="3118"/>
          </w:tcPr>
          <w:p>
            <w:r/>
            <w:r>
              <w:rPr>
                <w:rFonts w:ascii="Times New Roman" w:hAnsi="Times New Roman" w:eastAsia="Times New Roman"/>
                <w:b w:val="0"/>
                <w:i w:val="0"/>
                <w:sz w:val="18"/>
              </w:rPr>
              <w:t>Závažná závada neohrožující bezprostředně zdraví, ale omezující užívání</w:t>
            </w:r>
          </w:p>
        </w:tc>
        <w:tc>
          <w:tcPr>
            <w:tcW w:type="dxa" w:w="3118"/>
          </w:tcPr>
          <w:p>
            <w:r/>
            <w:r>
              <w:rPr>
                <w:rFonts w:ascii="Times New Roman" w:hAnsi="Times New Roman" w:eastAsia="Times New Roman"/>
                <w:b w:val="0"/>
                <w:i w:val="0"/>
                <w:sz w:val="18"/>
              </w:rPr>
              <w:t>do 1 pracovního dne</w:t>
            </w:r>
          </w:p>
        </w:tc>
      </w:tr>
      <w:tr>
        <w:tc>
          <w:tcPr>
            <w:tcW w:type="dxa" w:w="3118"/>
          </w:tcPr>
          <w:p>
            <w:r/>
            <w:r>
              <w:rPr>
                <w:rFonts w:ascii="Times New Roman" w:hAnsi="Times New Roman" w:eastAsia="Times New Roman"/>
                <w:b w:val="0"/>
                <w:i w:val="0"/>
                <w:sz w:val="18"/>
              </w:rPr>
              <w:t>Běžný požadavek</w:t>
            </w:r>
          </w:p>
        </w:tc>
        <w:tc>
          <w:tcPr>
            <w:tcW w:type="dxa" w:w="3118"/>
          </w:tcPr>
          <w:p>
            <w:r/>
            <w:r>
              <w:rPr>
                <w:rFonts w:ascii="Times New Roman" w:hAnsi="Times New Roman" w:eastAsia="Times New Roman"/>
                <w:b w:val="0"/>
                <w:i w:val="0"/>
                <w:sz w:val="18"/>
              </w:rPr>
              <w:t>Dotazy, drobné závady, administrativní žádosti</w:t>
            </w:r>
          </w:p>
        </w:tc>
        <w:tc>
          <w:tcPr>
            <w:tcW w:type="dxa" w:w="3118"/>
          </w:tcPr>
          <w:p>
            <w:r/>
            <w:r>
              <w:rPr>
                <w:rFonts w:ascii="Times New Roman" w:hAnsi="Times New Roman" w:eastAsia="Times New Roman"/>
                <w:b w:val="0"/>
                <w:i w:val="0"/>
                <w:sz w:val="18"/>
              </w:rPr>
              <w:t>do 3 pracovních dnů</w:t>
            </w:r>
          </w:p>
        </w:tc>
      </w:tr>
      <w:tr>
        <w:tc>
          <w:tcPr>
            <w:tcW w:type="dxa" w:w="3118"/>
          </w:tcPr>
          <w:p>
            <w:r/>
            <w:r>
              <w:rPr>
                <w:rFonts w:ascii="Times New Roman" w:hAnsi="Times New Roman" w:eastAsia="Times New Roman"/>
                <w:b w:val="0"/>
                <w:i w:val="0"/>
                <w:sz w:val="18"/>
              </w:rPr>
              <w:t>Informativní / report</w:t>
            </w:r>
          </w:p>
        </w:tc>
        <w:tc>
          <w:tcPr>
            <w:tcW w:type="dxa" w:w="3118"/>
          </w:tcPr>
          <w:p>
            <w:r/>
            <w:r>
              <w:rPr>
                <w:rFonts w:ascii="Times New Roman" w:hAnsi="Times New Roman" w:eastAsia="Times New Roman"/>
                <w:b w:val="0"/>
                <w:i w:val="0"/>
                <w:sz w:val="18"/>
              </w:rPr>
              <w:t>Periodické informace, podklady pro Výbor</w:t>
            </w:r>
          </w:p>
        </w:tc>
        <w:tc>
          <w:tcPr>
            <w:tcW w:type="dxa" w:w="3118"/>
          </w:tcPr>
          <w:p>
            <w:r/>
            <w:r>
              <w:rPr>
                <w:rFonts w:ascii="Times New Roman" w:hAnsi="Times New Roman" w:eastAsia="Times New Roman"/>
                <w:b w:val="0"/>
                <w:i w:val="0"/>
                <w:sz w:val="18"/>
              </w:rPr>
              <w:t>dle dohodnutého kalendáře reportingu</w:t>
            </w:r>
          </w:p>
        </w:tc>
      </w:tr>
    </w:tbl>
    <w:p>
      <w:pPr>
        <w:spacing w:after="200" w:before="0" w:line="276" w:lineRule="auto"/>
        <w:jc w:val="both"/>
      </w:pPr>
      <w:r>
        <w:rPr>
          <w:rFonts w:ascii="Times New Roman" w:hAnsi="Times New Roman" w:eastAsia="Times New Roman"/>
          <w:b w:val="0"/>
          <w:i/>
          <w:sz w:val="22"/>
        </w:rPr>
        <w:t>* Reakční doba = potvrzení přijetí a zahájení řešení (nikoli nutně kompletní dokončení). Dokončení závisí na dostupnosti dodavatelů a součinnosti Výboru.</w:t>
      </w:r>
    </w:p>
    <w:p>
      <w:pPr>
        <w:spacing w:before="240" w:after="120"/>
      </w:pPr>
      <w:r>
        <w:rPr>
          <w:rFonts w:ascii="Times New Roman" w:hAnsi="Times New Roman" w:eastAsia="Times New Roman"/>
          <w:b/>
          <w:i w:val="0"/>
          <w:sz w:val="24"/>
        </w:rPr>
        <w:t>3. Reporting</w:t>
      </w:r>
    </w:p>
    <w:p>
      <w:pPr>
        <w:spacing w:after="60"/>
        <w:ind w:left="567" w:hanging="227"/>
        <w:jc w:val="both"/>
      </w:pPr>
      <w:r>
        <w:rPr>
          <w:rFonts w:ascii="Times New Roman" w:hAnsi="Times New Roman" w:eastAsia="Times New Roman"/>
          <w:b w:val="0"/>
          <w:i w:val="0"/>
          <w:sz w:val="22"/>
        </w:rPr>
        <w:t>•  Měsíční přehled: stav pokladny/účtu (v rozsahu dostupných podkladů), významné události, otevřené požadavky – do 10. pracovního dne následujícího měsíce.</w:t>
      </w:r>
    </w:p>
    <w:p>
      <w:pPr>
        <w:spacing w:after="60"/>
        <w:ind w:left="567" w:hanging="227"/>
        <w:jc w:val="both"/>
      </w:pPr>
      <w:r>
        <w:rPr>
          <w:rFonts w:ascii="Times New Roman" w:hAnsi="Times New Roman" w:eastAsia="Times New Roman"/>
          <w:b w:val="0"/>
          <w:i w:val="0"/>
          <w:sz w:val="22"/>
        </w:rPr>
        <w:t>•  Čtvrtletní souhrn hospodaření / čerpání rozpočtu – dle dohody s Výborem.</w:t>
      </w:r>
    </w:p>
    <w:p>
      <w:pPr>
        <w:spacing w:after="60"/>
        <w:ind w:left="567" w:hanging="227"/>
        <w:jc w:val="both"/>
      </w:pPr>
      <w:r>
        <w:rPr>
          <w:rFonts w:ascii="Times New Roman" w:hAnsi="Times New Roman" w:eastAsia="Times New Roman"/>
          <w:b w:val="0"/>
          <w:i w:val="0"/>
          <w:sz w:val="22"/>
        </w:rPr>
        <w:t>•  Roční podklady k vyúčtování a rozpočtu – v termínech umožňujících včasné svolání shromáždění.</w:t>
      </w:r>
    </w:p>
    <w:p>
      <w:pPr>
        <w:spacing w:before="240" w:after="120"/>
      </w:pPr>
      <w:r>
        <w:rPr>
          <w:rFonts w:ascii="Times New Roman" w:hAnsi="Times New Roman" w:eastAsia="Times New Roman"/>
          <w:b/>
          <w:i w:val="0"/>
          <w:sz w:val="24"/>
        </w:rPr>
        <w:t>4. Eskalace</w:t>
      </w:r>
    </w:p>
    <w:p>
      <w:pPr>
        <w:spacing w:after="80" w:before="40"/>
        <w:ind w:left="283"/>
        <w:jc w:val="both"/>
      </w:pPr>
      <w:r>
        <w:rPr>
          <w:rFonts w:ascii="Times New Roman" w:hAnsi="Times New Roman" w:eastAsia="Times New Roman"/>
          <w:b/>
          <w:i w:val="0"/>
          <w:sz w:val="22"/>
        </w:rPr>
        <w:t xml:space="preserve">4.1  </w:t>
      </w:r>
      <w:r>
        <w:rPr>
          <w:rFonts w:ascii="Times New Roman" w:hAnsi="Times New Roman" w:eastAsia="Times New Roman"/>
          <w:b w:val="0"/>
          <w:i w:val="0"/>
          <w:sz w:val="22"/>
        </w:rPr>
        <w:t>Neobdrží-li Objednatel reakci v dohodnuté lhůtě, kontaktuje Poskytovatele telefonicky.</w:t>
      </w:r>
    </w:p>
    <w:p>
      <w:pPr>
        <w:spacing w:after="80" w:before="40"/>
        <w:ind w:left="283"/>
        <w:jc w:val="both"/>
      </w:pPr>
      <w:r>
        <w:rPr>
          <w:rFonts w:ascii="Times New Roman" w:hAnsi="Times New Roman" w:eastAsia="Times New Roman"/>
          <w:b/>
          <w:i w:val="0"/>
          <w:sz w:val="22"/>
        </w:rPr>
        <w:t xml:space="preserve">4.2  </w:t>
      </w:r>
      <w:r>
        <w:rPr>
          <w:rFonts w:ascii="Times New Roman" w:hAnsi="Times New Roman" w:eastAsia="Times New Roman"/>
          <w:b w:val="0"/>
          <w:i w:val="0"/>
          <w:sz w:val="22"/>
        </w:rPr>
        <w:t>Trvá-li nečinnost, Výbor zašle e-mailovou eskalaci na svj@martinpohl.cz s označením „ESKALACE“.</w:t>
      </w:r>
    </w:p>
    <w:p>
      <w:pPr>
        <w:spacing w:after="80" w:before="40"/>
        <w:ind w:left="283"/>
        <w:jc w:val="both"/>
      </w:pPr>
      <w:r>
        <w:rPr>
          <w:rFonts w:ascii="Times New Roman" w:hAnsi="Times New Roman" w:eastAsia="Times New Roman"/>
          <w:b/>
          <w:i w:val="0"/>
          <w:sz w:val="22"/>
        </w:rPr>
        <w:t xml:space="preserve">4.3  </w:t>
      </w:r>
      <w:r>
        <w:rPr>
          <w:rFonts w:ascii="Times New Roman" w:hAnsi="Times New Roman" w:eastAsia="Times New Roman"/>
          <w:b w:val="0"/>
          <w:i w:val="0"/>
          <w:sz w:val="22"/>
        </w:rPr>
        <w:t>Opakované podstatné nedodržení SLA řeší strany podle čl. 7 a 10 smlouvy.</w:t>
      </w:r>
    </w:p>
    <w:p>
      <w:pPr>
        <w:spacing w:before="240" w:after="120"/>
      </w:pPr>
      <w:r>
        <w:rPr>
          <w:rFonts w:ascii="Times New Roman" w:hAnsi="Times New Roman" w:eastAsia="Times New Roman"/>
          <w:b/>
          <w:i w:val="0"/>
          <w:sz w:val="24"/>
        </w:rPr>
        <w:t>5. Měření a výjimky</w:t>
      </w:r>
    </w:p>
    <w:p>
      <w:pPr>
        <w:spacing w:after="60"/>
        <w:ind w:left="567" w:hanging="227"/>
        <w:jc w:val="both"/>
      </w:pPr>
      <w:r>
        <w:rPr>
          <w:rFonts w:ascii="Times New Roman" w:hAnsi="Times New Roman" w:eastAsia="Times New Roman"/>
          <w:b w:val="0"/>
          <w:i w:val="0"/>
          <w:sz w:val="22"/>
        </w:rPr>
        <w:t>•  Do reakčních dob se nezapočítává doba čekání na součinnost Objednatele, vlastníků nebo třetích stran.</w:t>
      </w:r>
    </w:p>
    <w:p>
      <w:pPr>
        <w:spacing w:after="60"/>
        <w:ind w:left="567" w:hanging="227"/>
        <w:jc w:val="both"/>
      </w:pPr>
      <w:r>
        <w:rPr>
          <w:rFonts w:ascii="Times New Roman" w:hAnsi="Times New Roman" w:eastAsia="Times New Roman"/>
          <w:b w:val="0"/>
          <w:i w:val="0"/>
          <w:sz w:val="22"/>
        </w:rPr>
        <w:t>•  Vyšší moc a plošné výpadky sítí / dodavatelů jsou důvodem k přiměřenému prodloužení lhůt.</w:t>
      </w:r>
    </w:p>
    <w:p>
      <w:r>
        <w:br w:type="page"/>
      </w:r>
    </w:p>
    <w:p>
      <w:pPr>
        <w:spacing w:before="360" w:after="200"/>
      </w:pPr>
      <w:r>
        <w:rPr>
          <w:rFonts w:ascii="Times New Roman" w:hAnsi="Times New Roman" w:eastAsia="Times New Roman"/>
          <w:b/>
          <w:i w:val="0"/>
          <w:sz w:val="28"/>
        </w:rPr>
        <w:t>Příloha č. 3 – Zpracování osobních údajů (GDPR)</w:t>
      </w:r>
    </w:p>
    <w:p>
      <w:pPr>
        <w:spacing w:after="240" w:before="0" w:line="276" w:lineRule="auto"/>
        <w:jc w:val="both"/>
      </w:pPr>
      <w:r>
        <w:rPr>
          <w:rFonts w:ascii="Times New Roman" w:hAnsi="Times New Roman" w:eastAsia="Times New Roman"/>
          <w:b w:val="0"/>
          <w:i/>
          <w:sz w:val="22"/>
        </w:rPr>
        <w:t>ke Vzoru smlouvy o poskytování služeb správy SVJ – Profi Správce SVJ / vzor</w:t>
      </w:r>
    </w:p>
    <w:p>
      <w:pPr>
        <w:spacing w:before="240" w:after="120"/>
      </w:pPr>
      <w:r>
        <w:rPr>
          <w:rFonts w:ascii="Times New Roman" w:hAnsi="Times New Roman" w:eastAsia="Times New Roman"/>
          <w:b/>
          <w:i w:val="0"/>
          <w:sz w:val="24"/>
        </w:rPr>
        <w:t>1. Role stran</w:t>
      </w:r>
    </w:p>
    <w:p>
      <w:pPr>
        <w:spacing w:after="80" w:before="40"/>
        <w:ind w:left="283"/>
        <w:jc w:val="both"/>
      </w:pPr>
      <w:r>
        <w:rPr>
          <w:rFonts w:ascii="Times New Roman" w:hAnsi="Times New Roman" w:eastAsia="Times New Roman"/>
          <w:b/>
          <w:i w:val="0"/>
          <w:sz w:val="22"/>
        </w:rPr>
        <w:t xml:space="preserve">1.1  </w:t>
      </w:r>
      <w:r>
        <w:rPr>
          <w:rFonts w:ascii="Times New Roman" w:hAnsi="Times New Roman" w:eastAsia="Times New Roman"/>
          <w:b w:val="0"/>
          <w:i w:val="0"/>
          <w:sz w:val="22"/>
        </w:rPr>
        <w:t>Objednatel (SVJ) je zpravidla správcem osobních údajů vlastníků a dalších osob zpracovávaných v souvislosti se správou domu a činností společenství.</w:t>
      </w:r>
    </w:p>
    <w:p>
      <w:pPr>
        <w:spacing w:after="80" w:before="40"/>
        <w:ind w:left="283"/>
        <w:jc w:val="both"/>
      </w:pPr>
      <w:r>
        <w:rPr>
          <w:rFonts w:ascii="Times New Roman" w:hAnsi="Times New Roman" w:eastAsia="Times New Roman"/>
          <w:b/>
          <w:i w:val="0"/>
          <w:sz w:val="22"/>
        </w:rPr>
        <w:t xml:space="preserve">1.2  </w:t>
      </w:r>
      <w:r>
        <w:rPr>
          <w:rFonts w:ascii="Times New Roman" w:hAnsi="Times New Roman" w:eastAsia="Times New Roman"/>
          <w:b w:val="0"/>
          <w:i w:val="0"/>
          <w:sz w:val="22"/>
        </w:rPr>
        <w:t>Poskytovatel zpracovává osobní údaje jménem Objednatele jako zpracovatel ve smyslu čl. 28 GDPR, a to výhradně za účelem poskytování Služeb podle smlouvy, nestanoví-li právní předpis jinak (např. povinnosti OSVČ vůči správci daně ohledně vlastních údajů).</w:t>
      </w:r>
    </w:p>
    <w:p>
      <w:pPr>
        <w:spacing w:after="80" w:before="40"/>
        <w:ind w:left="283"/>
        <w:jc w:val="both"/>
      </w:pPr>
      <w:r>
        <w:rPr>
          <w:rFonts w:ascii="Times New Roman" w:hAnsi="Times New Roman" w:eastAsia="Times New Roman"/>
          <w:b/>
          <w:i w:val="0"/>
          <w:sz w:val="22"/>
        </w:rPr>
        <w:t xml:space="preserve">1.3  </w:t>
      </w:r>
      <w:r>
        <w:rPr>
          <w:rFonts w:ascii="Times New Roman" w:hAnsi="Times New Roman" w:eastAsia="Times New Roman"/>
          <w:b w:val="0"/>
          <w:i w:val="0"/>
          <w:sz w:val="22"/>
        </w:rPr>
        <w:t>Tato příloha plní funkci smlouvy o zpracování osobních údajů podle čl. 28 GDPR.</w:t>
      </w:r>
    </w:p>
    <w:p>
      <w:pPr>
        <w:spacing w:before="240" w:after="120"/>
      </w:pPr>
      <w:r>
        <w:rPr>
          <w:rFonts w:ascii="Times New Roman" w:hAnsi="Times New Roman" w:eastAsia="Times New Roman"/>
          <w:b/>
          <w:i w:val="0"/>
          <w:sz w:val="24"/>
        </w:rPr>
        <w:t>2. Kategorie subjektů údajů a údajů</w:t>
      </w:r>
    </w:p>
    <w:p>
      <w:pPr>
        <w:spacing w:after="60"/>
        <w:ind w:left="567" w:hanging="227"/>
        <w:jc w:val="both"/>
      </w:pPr>
      <w:r>
        <w:rPr>
          <w:rFonts w:ascii="Times New Roman" w:hAnsi="Times New Roman" w:eastAsia="Times New Roman"/>
          <w:b w:val="0"/>
          <w:i w:val="0"/>
          <w:sz w:val="22"/>
        </w:rPr>
        <w:t>•  Subjekty: vlastníci jednotek, členové domácností (je-li to nezbytné), členové výboru, dodavatelé (fyzické osoby), případně nájemci – v rozsahu předaném Objednatelem.</w:t>
      </w:r>
    </w:p>
    <w:p>
      <w:pPr>
        <w:spacing w:after="60"/>
        <w:ind w:left="567" w:hanging="227"/>
        <w:jc w:val="both"/>
      </w:pPr>
      <w:r>
        <w:rPr>
          <w:rFonts w:ascii="Times New Roman" w:hAnsi="Times New Roman" w:eastAsia="Times New Roman"/>
          <w:b w:val="0"/>
          <w:i w:val="0"/>
          <w:sz w:val="22"/>
        </w:rPr>
        <w:t>•  Údaje: identifikační a kontaktní (jméno, adresa, e-mail, telefon), údaje o jednotce a podílu, platební a účetní údaje související s předpisy a úhradami, údaje v zápisech a korespondenci správy, případně přístupové údaje k systémům správy.</w:t>
      </w:r>
    </w:p>
    <w:p>
      <w:pPr>
        <w:spacing w:after="60"/>
        <w:ind w:left="567" w:hanging="227"/>
        <w:jc w:val="both"/>
      </w:pPr>
      <w:r>
        <w:rPr>
          <w:rFonts w:ascii="Times New Roman" w:hAnsi="Times New Roman" w:eastAsia="Times New Roman"/>
          <w:b w:val="0"/>
          <w:i w:val="0"/>
          <w:sz w:val="22"/>
        </w:rPr>
        <w:t>•  Zvláštní kategorie údajů (čl. 9 GDPR) Poskytovatel nezpracovává, leda by to bylo nezbytné a Objednatelem výslovně písemně požadováno v souladu s GDPR.</w:t>
      </w:r>
    </w:p>
    <w:p>
      <w:pPr>
        <w:spacing w:before="240" w:after="120"/>
      </w:pPr>
      <w:r>
        <w:rPr>
          <w:rFonts w:ascii="Times New Roman" w:hAnsi="Times New Roman" w:eastAsia="Times New Roman"/>
          <w:b/>
          <w:i w:val="0"/>
          <w:sz w:val="24"/>
        </w:rPr>
        <w:t>3. Účely a pokyny</w:t>
      </w:r>
    </w:p>
    <w:p>
      <w:pPr>
        <w:spacing w:after="60"/>
        <w:ind w:left="567" w:hanging="227"/>
        <w:jc w:val="both"/>
      </w:pPr>
      <w:r>
        <w:rPr>
          <w:rFonts w:ascii="Times New Roman" w:hAnsi="Times New Roman" w:eastAsia="Times New Roman"/>
          <w:b w:val="0"/>
          <w:i w:val="0"/>
          <w:sz w:val="22"/>
        </w:rPr>
        <w:t>•  Účely: správa domu a SVJ, evidence vlastníků, vyúčtování, komunikace, vymáhání pohledávek v rozsahu pokynů, plnění právních povinností SVJ, archivace.</w:t>
      </w:r>
    </w:p>
    <w:p>
      <w:pPr>
        <w:spacing w:after="60"/>
        <w:ind w:left="567" w:hanging="227"/>
        <w:jc w:val="both"/>
      </w:pPr>
      <w:r>
        <w:rPr>
          <w:rFonts w:ascii="Times New Roman" w:hAnsi="Times New Roman" w:eastAsia="Times New Roman"/>
          <w:b w:val="0"/>
          <w:i w:val="0"/>
          <w:sz w:val="22"/>
        </w:rPr>
        <w:t>•  Poskytovatel zpracovává údaje pouze podle dokumentovaných pokynů Objednatele (včetně této smlouvy) a právních předpisů.</w:t>
      </w:r>
    </w:p>
    <w:p>
      <w:pPr>
        <w:spacing w:after="60"/>
        <w:ind w:left="567" w:hanging="227"/>
        <w:jc w:val="both"/>
      </w:pPr>
      <w:r>
        <w:rPr>
          <w:rFonts w:ascii="Times New Roman" w:hAnsi="Times New Roman" w:eastAsia="Times New Roman"/>
          <w:b w:val="0"/>
          <w:i w:val="0"/>
          <w:sz w:val="22"/>
        </w:rPr>
        <w:t>•  Poskytovatel bez zbytečného odkladu informuje Objednatele, pokud má za to, že pokyn porušuje GDPR.</w:t>
      </w:r>
    </w:p>
    <w:p>
      <w:pPr>
        <w:spacing w:before="240" w:after="120"/>
      </w:pPr>
      <w:r>
        <w:rPr>
          <w:rFonts w:ascii="Times New Roman" w:hAnsi="Times New Roman" w:eastAsia="Times New Roman"/>
          <w:b/>
          <w:i w:val="0"/>
          <w:sz w:val="24"/>
        </w:rPr>
        <w:t>4. Doba uchování</w:t>
      </w:r>
    </w:p>
    <w:p>
      <w:pPr>
        <w:spacing w:after="160" w:before="0" w:line="276" w:lineRule="auto"/>
        <w:jc w:val="both"/>
      </w:pPr>
      <w:r>
        <w:rPr>
          <w:rFonts w:ascii="Times New Roman" w:hAnsi="Times New Roman" w:eastAsia="Times New Roman"/>
          <w:b w:val="0"/>
          <w:i w:val="0"/>
          <w:sz w:val="22"/>
        </w:rPr>
        <w:t>Údaje se uchovávají po dobu trvání smlouvy a poté po dobu nezbytnou k předání Objednateli / novému správci a k ochraně právních nároků, nejdéle však v souladu s právními předpisy o archivaci a účetnictví. Po ukončení zpracování Poskytovatel údaje podle pokynu Objednatele vrátí nebo bezpečně zlikviduje, s výjimkou údajů, které je povinen uchovat ze zákona.</w:t>
      </w:r>
    </w:p>
    <w:p>
      <w:pPr>
        <w:spacing w:before="240" w:after="120"/>
      </w:pPr>
      <w:r>
        <w:rPr>
          <w:rFonts w:ascii="Times New Roman" w:hAnsi="Times New Roman" w:eastAsia="Times New Roman"/>
          <w:b/>
          <w:i w:val="0"/>
          <w:sz w:val="24"/>
        </w:rPr>
        <w:t>5. Zabezpečení</w:t>
      </w:r>
    </w:p>
    <w:p>
      <w:pPr>
        <w:spacing w:after="60"/>
        <w:ind w:left="567" w:hanging="227"/>
        <w:jc w:val="both"/>
      </w:pPr>
      <w:r>
        <w:rPr>
          <w:rFonts w:ascii="Times New Roman" w:hAnsi="Times New Roman" w:eastAsia="Times New Roman"/>
          <w:b w:val="0"/>
          <w:i w:val="0"/>
          <w:sz w:val="22"/>
        </w:rPr>
        <w:t>•  Organizační a technická opatření přiměřená riziku: řízení přístupů, hesla / vícefaktorové ověření tam, kde je dostupné, aktualizace software, zálohování, mlčenlivost osob s přístupem.</w:t>
      </w:r>
    </w:p>
    <w:p>
      <w:pPr>
        <w:spacing w:after="60"/>
        <w:ind w:left="567" w:hanging="227"/>
        <w:jc w:val="both"/>
      </w:pPr>
      <w:r>
        <w:rPr>
          <w:rFonts w:ascii="Times New Roman" w:hAnsi="Times New Roman" w:eastAsia="Times New Roman"/>
          <w:b w:val="0"/>
          <w:i w:val="0"/>
          <w:sz w:val="22"/>
        </w:rPr>
        <w:t>•  Poskytovatel zajistí, aby osoby oprávněné zpracovávat údaje byly vázány mlčenlivostí.</w:t>
      </w:r>
    </w:p>
    <w:p>
      <w:pPr>
        <w:spacing w:before="240" w:after="120"/>
      </w:pPr>
      <w:r>
        <w:rPr>
          <w:rFonts w:ascii="Times New Roman" w:hAnsi="Times New Roman" w:eastAsia="Times New Roman"/>
          <w:b/>
          <w:i w:val="0"/>
          <w:sz w:val="24"/>
        </w:rPr>
        <w:t>6. Další zpracovatelé (subdodavatelé)</w:t>
      </w:r>
    </w:p>
    <w:p>
      <w:pPr>
        <w:spacing w:after="160" w:before="0" w:line="276" w:lineRule="auto"/>
        <w:jc w:val="both"/>
      </w:pPr>
      <w:r>
        <w:rPr>
          <w:rFonts w:ascii="Times New Roman" w:hAnsi="Times New Roman" w:eastAsia="Times New Roman"/>
          <w:b w:val="0"/>
          <w:i w:val="0"/>
          <w:sz w:val="22"/>
        </w:rPr>
        <w:t>Poskytovatel je oprávněn zapojit další zpracovatele (např. poskytovatel účetního software, cloudové úložiště, IT podpora, případně externí účetní), pokud jim uloží stejné povinnosti ochrany údajů. Aktuální seznam hlavních dalších zpracovatelů: [doplní se]. O podstatných změnách Poskytovatel informuje Objednatele; Objednatel může z vážných důvodů ochrany údajů vznést námitku.</w:t>
      </w:r>
    </w:p>
    <w:p>
      <w:pPr>
        <w:spacing w:before="240" w:after="120"/>
      </w:pPr>
      <w:r>
        <w:rPr>
          <w:rFonts w:ascii="Times New Roman" w:hAnsi="Times New Roman" w:eastAsia="Times New Roman"/>
          <w:b/>
          <w:i w:val="0"/>
          <w:sz w:val="24"/>
        </w:rPr>
        <w:t>7. Práva subjektů údajů a součinnost</w:t>
      </w:r>
    </w:p>
    <w:p>
      <w:pPr>
        <w:spacing w:after="60"/>
        <w:ind w:left="567" w:hanging="227"/>
        <w:jc w:val="both"/>
      </w:pPr>
      <w:r>
        <w:rPr>
          <w:rFonts w:ascii="Times New Roman" w:hAnsi="Times New Roman" w:eastAsia="Times New Roman"/>
          <w:b w:val="0"/>
          <w:i w:val="0"/>
          <w:sz w:val="22"/>
        </w:rPr>
        <w:t>•  Poskytovatel poskytne Objednateli součinnost při vyřizování žádostí subjektů údajů (přístup, oprava, výmaz, omezení, přenositelnost, námitka) v přiměřených lhůtách.</w:t>
      </w:r>
    </w:p>
    <w:p>
      <w:pPr>
        <w:spacing w:after="60"/>
        <w:ind w:left="567" w:hanging="227"/>
        <w:jc w:val="both"/>
      </w:pPr>
      <w:r>
        <w:rPr>
          <w:rFonts w:ascii="Times New Roman" w:hAnsi="Times New Roman" w:eastAsia="Times New Roman"/>
          <w:b w:val="0"/>
          <w:i w:val="0"/>
          <w:sz w:val="22"/>
        </w:rPr>
        <w:t>•  Poskytovatel součinnost při DPIA a konzultacích s dozorovým úřadem, je-li to s ohledem na povahu zpracování potřebné.</w:t>
      </w:r>
    </w:p>
    <w:p>
      <w:pPr>
        <w:spacing w:after="60"/>
        <w:ind w:left="567" w:hanging="227"/>
        <w:jc w:val="both"/>
      </w:pPr>
      <w:r>
        <w:rPr>
          <w:rFonts w:ascii="Times New Roman" w:hAnsi="Times New Roman" w:eastAsia="Times New Roman"/>
          <w:b w:val="0"/>
          <w:i w:val="0"/>
          <w:sz w:val="22"/>
        </w:rPr>
        <w:t>•  Ohledně porušení zabezpečení Poskytovatel bez zbytečného odkladu informuje Objednatele.</w:t>
      </w:r>
    </w:p>
    <w:p>
      <w:pPr>
        <w:spacing w:before="240" w:after="120"/>
      </w:pPr>
      <w:r>
        <w:rPr>
          <w:rFonts w:ascii="Times New Roman" w:hAnsi="Times New Roman" w:eastAsia="Times New Roman"/>
          <w:b/>
          <w:i w:val="0"/>
          <w:sz w:val="24"/>
        </w:rPr>
        <w:t>8. Kontakt</w:t>
      </w:r>
    </w:p>
    <w:p>
      <w:pPr>
        <w:spacing w:after="160" w:before="0" w:line="276" w:lineRule="auto"/>
        <w:jc w:val="both"/>
      </w:pPr>
      <w:r>
        <w:rPr>
          <w:rFonts w:ascii="Times New Roman" w:hAnsi="Times New Roman" w:eastAsia="Times New Roman"/>
          <w:b w:val="0"/>
          <w:i w:val="0"/>
          <w:sz w:val="22"/>
        </w:rPr>
        <w:t>Žádosti a dotazy k osobním údajům souvisejícím se správou: svj@martinpohl.cz. Poskytovatel nemá povinně jmenovaného pověřence pro ochranu osobních údajů (DPO); pokud bude DPO jmenován, strany si sdělí kontakt dodatkem. Objednatel může určit vlastní kontaktní osobu pro GDPR: [doplní se].</w:t>
      </w:r>
    </w:p>
    <w:p>
      <w:r>
        <w:br w:type="page"/>
      </w:r>
    </w:p>
    <w:p>
      <w:pPr>
        <w:spacing w:before="360" w:after="200"/>
      </w:pPr>
      <w:r>
        <w:rPr>
          <w:rFonts w:ascii="Times New Roman" w:hAnsi="Times New Roman" w:eastAsia="Times New Roman"/>
          <w:b/>
          <w:i w:val="0"/>
          <w:sz w:val="28"/>
        </w:rPr>
        <w:t>Příloha č. 4 – Předávací protokol (vzor)</w:t>
      </w:r>
    </w:p>
    <w:p>
      <w:pPr>
        <w:spacing w:after="160" w:before="0" w:line="276" w:lineRule="auto"/>
        <w:jc w:val="both"/>
      </w:pPr>
      <w:r>
        <w:rPr>
          <w:rFonts w:ascii="Times New Roman" w:hAnsi="Times New Roman" w:eastAsia="Times New Roman"/>
          <w:b w:val="0"/>
          <w:i/>
          <w:sz w:val="22"/>
        </w:rPr>
        <w:t>ke Vzoru smlouvy o poskytování služeb správy SVJ – Profi Správce SVJ / vzor</w:t>
      </w:r>
    </w:p>
    <w:p>
      <w:pPr>
        <w:spacing w:after="120" w:before="0" w:line="276" w:lineRule="auto"/>
        <w:jc w:val="both"/>
      </w:pPr>
      <w:r>
        <w:rPr>
          <w:rFonts w:ascii="Times New Roman" w:hAnsi="Times New Roman" w:eastAsia="Times New Roman"/>
          <w:b w:val="0"/>
          <w:i w:val="0"/>
          <w:sz w:val="22"/>
        </w:rPr>
        <w:t>Typ předání: ☐ zahájení spolupráce    ☐ ukončení spolupráce    ☐ jiné: __________</w:t>
      </w:r>
    </w:p>
    <w:p>
      <w:pPr>
        <w:spacing w:after="80"/>
      </w:pPr>
      <w:r>
        <w:rPr>
          <w:rFonts w:ascii="Times New Roman" w:hAnsi="Times New Roman" w:eastAsia="Times New Roman"/>
          <w:b w:val="0"/>
          <w:i w:val="0"/>
          <w:sz w:val="22"/>
        </w:rPr>
        <w:t>Datum předání: ____________________</w:t>
      </w:r>
    </w:p>
    <w:p>
      <w:pPr>
        <w:spacing w:after="80"/>
      </w:pPr>
      <w:r>
        <w:rPr>
          <w:rFonts w:ascii="Times New Roman" w:hAnsi="Times New Roman" w:eastAsia="Times New Roman"/>
          <w:b w:val="0"/>
          <w:i w:val="0"/>
          <w:sz w:val="22"/>
        </w:rPr>
        <w:t>Místo předání: ____________________</w:t>
      </w:r>
    </w:p>
    <w:p>
      <w:pPr>
        <w:spacing w:after="80"/>
      </w:pPr>
      <w:r>
        <w:rPr>
          <w:rFonts w:ascii="Times New Roman" w:hAnsi="Times New Roman" w:eastAsia="Times New Roman"/>
          <w:b w:val="0"/>
          <w:i w:val="0"/>
          <w:sz w:val="22"/>
        </w:rPr>
        <w:t>Předávající: ________________________________________</w:t>
      </w:r>
    </w:p>
    <w:p>
      <w:pPr>
        <w:spacing w:after="80"/>
      </w:pPr>
      <w:r>
        <w:rPr>
          <w:rFonts w:ascii="Times New Roman" w:hAnsi="Times New Roman" w:eastAsia="Times New Roman"/>
          <w:b w:val="0"/>
          <w:i w:val="0"/>
          <w:sz w:val="22"/>
        </w:rPr>
        <w:t>Přebírající: ________________________________________</w:t>
      </w:r>
    </w:p>
    <w:p>
      <w:pPr>
        <w:spacing w:before="240" w:after="120"/>
      </w:pPr>
      <w:r>
        <w:rPr>
          <w:rFonts w:ascii="Times New Roman" w:hAnsi="Times New Roman" w:eastAsia="Times New Roman"/>
          <w:b/>
          <w:i w:val="0"/>
          <w:sz w:val="24"/>
        </w:rPr>
        <w:t>A. Dokumenty a spisy</w:t>
      </w:r>
    </w:p>
    <w:p>
      <w:pPr>
        <w:spacing w:after="40" w:before="0" w:line="276" w:lineRule="auto"/>
        <w:jc w:val="both"/>
      </w:pPr>
      <w:r>
        <w:rPr>
          <w:rFonts w:ascii="Times New Roman" w:hAnsi="Times New Roman" w:eastAsia="Times New Roman"/>
          <w:b w:val="0"/>
          <w:i w:val="0"/>
          <w:sz w:val="22"/>
        </w:rPr>
        <w:t>☐  Stanovy SVJ (platné znění)     Počet / poznámka: _______________</w:t>
      </w:r>
    </w:p>
    <w:p>
      <w:pPr>
        <w:spacing w:after="40" w:before="0" w:line="276" w:lineRule="auto"/>
        <w:jc w:val="both"/>
      </w:pPr>
      <w:r>
        <w:rPr>
          <w:rFonts w:ascii="Times New Roman" w:hAnsi="Times New Roman" w:eastAsia="Times New Roman"/>
          <w:b w:val="0"/>
          <w:i w:val="0"/>
          <w:sz w:val="22"/>
        </w:rPr>
        <w:t>☐  Zápisy ze shromáždění a jednání výboru (za období: __________)     Počet / poznámka: _______________</w:t>
      </w:r>
    </w:p>
    <w:p>
      <w:pPr>
        <w:spacing w:after="40" w:before="0" w:line="276" w:lineRule="auto"/>
        <w:jc w:val="both"/>
      </w:pPr>
      <w:r>
        <w:rPr>
          <w:rFonts w:ascii="Times New Roman" w:hAnsi="Times New Roman" w:eastAsia="Times New Roman"/>
          <w:b w:val="0"/>
          <w:i w:val="0"/>
          <w:sz w:val="22"/>
        </w:rPr>
        <w:t>☐  Evidence vlastníků / jednotek     Počet / poznámka: _______________</w:t>
      </w:r>
    </w:p>
    <w:p>
      <w:pPr>
        <w:spacing w:after="40" w:before="0" w:line="276" w:lineRule="auto"/>
        <w:jc w:val="both"/>
      </w:pPr>
      <w:r>
        <w:rPr>
          <w:rFonts w:ascii="Times New Roman" w:hAnsi="Times New Roman" w:eastAsia="Times New Roman"/>
          <w:b w:val="0"/>
          <w:i w:val="0"/>
          <w:sz w:val="22"/>
        </w:rPr>
        <w:t>☐  Smlouvy s dodavateli (seznam v příloze protokolu)     Počet / poznámka: _______________</w:t>
      </w:r>
    </w:p>
    <w:p>
      <w:pPr>
        <w:spacing w:after="40" w:before="0" w:line="276" w:lineRule="auto"/>
        <w:jc w:val="both"/>
      </w:pPr>
      <w:r>
        <w:rPr>
          <w:rFonts w:ascii="Times New Roman" w:hAnsi="Times New Roman" w:eastAsia="Times New Roman"/>
          <w:b w:val="0"/>
          <w:i w:val="0"/>
          <w:sz w:val="22"/>
        </w:rPr>
        <w:t>☐  Pojistné smlouvy a doklady o platbách pojistného     Počet / poznámka: _______________</w:t>
      </w:r>
    </w:p>
    <w:p>
      <w:pPr>
        <w:spacing w:after="40" w:before="0" w:line="276" w:lineRule="auto"/>
        <w:jc w:val="both"/>
      </w:pPr>
      <w:r>
        <w:rPr>
          <w:rFonts w:ascii="Times New Roman" w:hAnsi="Times New Roman" w:eastAsia="Times New Roman"/>
          <w:b w:val="0"/>
          <w:i w:val="0"/>
          <w:sz w:val="22"/>
        </w:rPr>
        <w:t>☐  Rozpočty a vyúčtování služeb     Počet / poznámka: _______________</w:t>
      </w:r>
    </w:p>
    <w:p>
      <w:pPr>
        <w:spacing w:after="40" w:before="0" w:line="276" w:lineRule="auto"/>
        <w:jc w:val="both"/>
      </w:pPr>
      <w:r>
        <w:rPr>
          <w:rFonts w:ascii="Times New Roman" w:hAnsi="Times New Roman" w:eastAsia="Times New Roman"/>
          <w:b w:val="0"/>
          <w:i w:val="0"/>
          <w:sz w:val="22"/>
        </w:rPr>
        <w:t>☐  Účetní doklady / export účetnictví     Počet / poznámka: _______________</w:t>
      </w:r>
    </w:p>
    <w:p>
      <w:pPr>
        <w:spacing w:after="40" w:before="0" w:line="276" w:lineRule="auto"/>
        <w:jc w:val="both"/>
      </w:pPr>
      <w:r>
        <w:rPr>
          <w:rFonts w:ascii="Times New Roman" w:hAnsi="Times New Roman" w:eastAsia="Times New Roman"/>
          <w:b w:val="0"/>
          <w:i w:val="0"/>
          <w:sz w:val="22"/>
        </w:rPr>
        <w:t>☐  Korespondence s úřady (podstatná)     Počet / poznámka: _______________</w:t>
      </w:r>
    </w:p>
    <w:p>
      <w:pPr>
        <w:spacing w:after="40" w:before="0" w:line="276" w:lineRule="auto"/>
        <w:jc w:val="both"/>
      </w:pPr>
      <w:r>
        <w:rPr>
          <w:rFonts w:ascii="Times New Roman" w:hAnsi="Times New Roman" w:eastAsia="Times New Roman"/>
          <w:b w:val="0"/>
          <w:i w:val="0"/>
          <w:sz w:val="22"/>
        </w:rPr>
        <w:t>☐  Plné moci a pověření     Počet / poznámka: _______________</w:t>
      </w:r>
    </w:p>
    <w:p>
      <w:pPr>
        <w:spacing w:after="40" w:before="0" w:line="276" w:lineRule="auto"/>
        <w:jc w:val="both"/>
      </w:pPr>
      <w:r>
        <w:rPr>
          <w:rFonts w:ascii="Times New Roman" w:hAnsi="Times New Roman" w:eastAsia="Times New Roman"/>
          <w:b w:val="0"/>
          <w:i w:val="0"/>
          <w:sz w:val="22"/>
        </w:rPr>
        <w:t>☐  Jiné: ________________________________     Počet / poznámka: _______________</w:t>
      </w:r>
    </w:p>
    <w:p>
      <w:pPr>
        <w:spacing w:before="240" w:after="120"/>
      </w:pPr>
      <w:r>
        <w:rPr>
          <w:rFonts w:ascii="Times New Roman" w:hAnsi="Times New Roman" w:eastAsia="Times New Roman"/>
          <w:b/>
          <w:i w:val="0"/>
          <w:sz w:val="24"/>
        </w:rPr>
        <w:t>B. Klíče, přístupy, technika</w:t>
      </w:r>
    </w:p>
    <w:p>
      <w:pPr>
        <w:spacing w:after="40" w:before="0" w:line="276" w:lineRule="auto"/>
        <w:jc w:val="both"/>
      </w:pPr>
      <w:r>
        <w:rPr>
          <w:rFonts w:ascii="Times New Roman" w:hAnsi="Times New Roman" w:eastAsia="Times New Roman"/>
          <w:b w:val="0"/>
          <w:i w:val="0"/>
          <w:sz w:val="22"/>
        </w:rPr>
        <w:t>☐  Klíče od společných prostor / sklepů / strojoven (počet: ____)</w:t>
      </w:r>
    </w:p>
    <w:p>
      <w:pPr>
        <w:spacing w:after="40" w:before="0" w:line="276" w:lineRule="auto"/>
        <w:jc w:val="both"/>
      </w:pPr>
      <w:r>
        <w:rPr>
          <w:rFonts w:ascii="Times New Roman" w:hAnsi="Times New Roman" w:eastAsia="Times New Roman"/>
          <w:b w:val="0"/>
          <w:i w:val="0"/>
          <w:sz w:val="22"/>
        </w:rPr>
        <w:t>☐  Čipy / přístupové karty (počet: ____)</w:t>
      </w:r>
    </w:p>
    <w:p>
      <w:pPr>
        <w:spacing w:after="40" w:before="0" w:line="276" w:lineRule="auto"/>
        <w:jc w:val="both"/>
      </w:pPr>
      <w:r>
        <w:rPr>
          <w:rFonts w:ascii="Times New Roman" w:hAnsi="Times New Roman" w:eastAsia="Times New Roman"/>
          <w:b w:val="0"/>
          <w:i w:val="0"/>
          <w:sz w:val="22"/>
        </w:rPr>
        <w:t>☐  Ovladače vrat / závor (počet: ____)</w:t>
      </w:r>
    </w:p>
    <w:p>
      <w:pPr>
        <w:spacing w:after="40" w:before="0" w:line="276" w:lineRule="auto"/>
        <w:jc w:val="both"/>
      </w:pPr>
      <w:r>
        <w:rPr>
          <w:rFonts w:ascii="Times New Roman" w:hAnsi="Times New Roman" w:eastAsia="Times New Roman"/>
          <w:b w:val="0"/>
          <w:i w:val="0"/>
          <w:sz w:val="22"/>
        </w:rPr>
        <w:t>☐  Jiné přístupy: ________________________________</w:t>
      </w:r>
    </w:p>
    <w:p>
      <w:pPr>
        <w:spacing w:before="240" w:after="120"/>
      </w:pPr>
      <w:r>
        <w:rPr>
          <w:rFonts w:ascii="Times New Roman" w:hAnsi="Times New Roman" w:eastAsia="Times New Roman"/>
          <w:b/>
          <w:i w:val="0"/>
          <w:sz w:val="24"/>
        </w:rPr>
        <w:t>C. Banka a účetnictví</w:t>
      </w:r>
    </w:p>
    <w:p>
      <w:pPr>
        <w:spacing w:after="40" w:before="0" w:line="276" w:lineRule="auto"/>
        <w:jc w:val="both"/>
      </w:pPr>
      <w:r>
        <w:rPr>
          <w:rFonts w:ascii="Times New Roman" w:hAnsi="Times New Roman" w:eastAsia="Times New Roman"/>
          <w:b w:val="0"/>
          <w:i w:val="0"/>
          <w:sz w:val="22"/>
        </w:rPr>
        <w:t>☐  Informace o bankovním účtu SVJ (číslo účtu se do protokolu uvádí jen v nezbytném rozsahu)</w:t>
      </w:r>
    </w:p>
    <w:p>
      <w:pPr>
        <w:spacing w:after="40" w:before="0" w:line="276" w:lineRule="auto"/>
        <w:jc w:val="both"/>
      </w:pPr>
      <w:r>
        <w:rPr>
          <w:rFonts w:ascii="Times New Roman" w:hAnsi="Times New Roman" w:eastAsia="Times New Roman"/>
          <w:b w:val="0"/>
          <w:i w:val="0"/>
          <w:sz w:val="22"/>
        </w:rPr>
        <w:t>☐  Dispoziční oprávnění – stav / požadavek na změnu: __________</w:t>
      </w:r>
    </w:p>
    <w:p>
      <w:pPr>
        <w:spacing w:after="40" w:before="0" w:line="276" w:lineRule="auto"/>
        <w:jc w:val="both"/>
      </w:pPr>
      <w:r>
        <w:rPr>
          <w:rFonts w:ascii="Times New Roman" w:hAnsi="Times New Roman" w:eastAsia="Times New Roman"/>
          <w:b w:val="0"/>
          <w:i w:val="0"/>
          <w:sz w:val="22"/>
        </w:rPr>
        <w:t>☐  Účetní software / export dat – médium / odkaz: __________</w:t>
      </w:r>
    </w:p>
    <w:p>
      <w:pPr>
        <w:spacing w:after="40" w:before="0" w:line="276" w:lineRule="auto"/>
        <w:jc w:val="both"/>
      </w:pPr>
      <w:r>
        <w:rPr>
          <w:rFonts w:ascii="Times New Roman" w:hAnsi="Times New Roman" w:eastAsia="Times New Roman"/>
          <w:b w:val="0"/>
          <w:i w:val="0"/>
          <w:sz w:val="22"/>
        </w:rPr>
        <w:t>☐  Přístupy do bankovnictví – předány / zrušeny (nehodící se škrtněte)</w:t>
      </w:r>
    </w:p>
    <w:p>
      <w:pPr>
        <w:spacing w:before="240" w:after="120"/>
      </w:pPr>
      <w:r>
        <w:rPr>
          <w:rFonts w:ascii="Times New Roman" w:hAnsi="Times New Roman" w:eastAsia="Times New Roman"/>
          <w:b/>
          <w:i w:val="0"/>
          <w:sz w:val="24"/>
        </w:rPr>
        <w:t>D. Smlouvy, hesla, systémy</w:t>
      </w:r>
    </w:p>
    <w:p>
      <w:pPr>
        <w:spacing w:after="40" w:before="0" w:line="276" w:lineRule="auto"/>
        <w:jc w:val="both"/>
      </w:pPr>
      <w:r>
        <w:rPr>
          <w:rFonts w:ascii="Times New Roman" w:hAnsi="Times New Roman" w:eastAsia="Times New Roman"/>
          <w:b w:val="0"/>
          <w:i w:val="0"/>
          <w:sz w:val="22"/>
        </w:rPr>
        <w:t>☐  Seznam aktivních smluv s daty ukončení / výpovědními dobami</w:t>
      </w:r>
    </w:p>
    <w:p>
      <w:pPr>
        <w:spacing w:after="40" w:before="0" w:line="276" w:lineRule="auto"/>
        <w:jc w:val="both"/>
      </w:pPr>
      <w:r>
        <w:rPr>
          <w:rFonts w:ascii="Times New Roman" w:hAnsi="Times New Roman" w:eastAsia="Times New Roman"/>
          <w:b w:val="0"/>
          <w:i w:val="0"/>
          <w:sz w:val="22"/>
        </w:rPr>
        <w:t>☐  Přístupové údaje k portálům dodavatelů energií / pojišťovny / ČÚZK aj.</w:t>
      </w:r>
    </w:p>
    <w:p>
      <w:pPr>
        <w:spacing w:after="40" w:before="0" w:line="276" w:lineRule="auto"/>
        <w:jc w:val="both"/>
      </w:pPr>
      <w:r>
        <w:rPr>
          <w:rFonts w:ascii="Times New Roman" w:hAnsi="Times New Roman" w:eastAsia="Times New Roman"/>
          <w:b w:val="0"/>
          <w:i w:val="0"/>
          <w:sz w:val="22"/>
        </w:rPr>
        <w:t>☐  Přístup k webovému portálu správy / cloudovému úložišti</w:t>
      </w:r>
    </w:p>
    <w:p>
      <w:pPr>
        <w:spacing w:after="40" w:before="0" w:line="276" w:lineRule="auto"/>
        <w:jc w:val="both"/>
      </w:pPr>
      <w:r>
        <w:rPr>
          <w:rFonts w:ascii="Times New Roman" w:hAnsi="Times New Roman" w:eastAsia="Times New Roman"/>
          <w:b w:val="0"/>
          <w:i w:val="0"/>
          <w:sz w:val="22"/>
        </w:rPr>
        <w:t>☐  Hesla předána bezpečným kanálem / budou změněna ke dni: __________</w:t>
      </w:r>
    </w:p>
    <w:p>
      <w:pPr>
        <w:spacing w:before="240" w:after="120"/>
      </w:pPr>
      <w:r>
        <w:rPr>
          <w:rFonts w:ascii="Times New Roman" w:hAnsi="Times New Roman" w:eastAsia="Times New Roman"/>
          <w:b/>
          <w:i w:val="0"/>
          <w:sz w:val="24"/>
        </w:rPr>
        <w:t>E. Otevřené záležitosti</w:t>
      </w:r>
    </w:p>
    <w:p>
      <w:pPr>
        <w:spacing w:after="40" w:before="0" w:line="276" w:lineRule="auto"/>
        <w:jc w:val="both"/>
      </w:pPr>
      <w:r>
        <w:rPr>
          <w:rFonts w:ascii="Times New Roman" w:hAnsi="Times New Roman" w:eastAsia="Times New Roman"/>
          <w:b w:val="0"/>
          <w:i w:val="0"/>
          <w:sz w:val="22"/>
        </w:rPr>
        <w:t>1. _______________________________________________________________</w:t>
      </w:r>
    </w:p>
    <w:p>
      <w:pPr>
        <w:spacing w:after="40" w:before="0" w:line="276" w:lineRule="auto"/>
        <w:jc w:val="both"/>
      </w:pPr>
      <w:r>
        <w:rPr>
          <w:rFonts w:ascii="Times New Roman" w:hAnsi="Times New Roman" w:eastAsia="Times New Roman"/>
          <w:b w:val="0"/>
          <w:i w:val="0"/>
          <w:sz w:val="22"/>
        </w:rPr>
        <w:t>2. _______________________________________________________________</w:t>
      </w:r>
    </w:p>
    <w:p>
      <w:pPr>
        <w:spacing w:after="40" w:before="0" w:line="276" w:lineRule="auto"/>
        <w:jc w:val="both"/>
      </w:pPr>
      <w:r>
        <w:rPr>
          <w:rFonts w:ascii="Times New Roman" w:hAnsi="Times New Roman" w:eastAsia="Times New Roman"/>
          <w:b w:val="0"/>
          <w:i w:val="0"/>
          <w:sz w:val="22"/>
        </w:rPr>
        <w:t>3. _______________________________________________________________</w:t>
      </w:r>
    </w:p>
    <w:p>
      <w:pPr>
        <w:spacing w:after="160" w:before="0" w:line="276" w:lineRule="auto"/>
        <w:jc w:val="both"/>
      </w:pPr>
      <w:r>
        <w:rPr>
          <w:rFonts w:ascii="Times New Roman" w:hAnsi="Times New Roman" w:eastAsia="Times New Roman"/>
          <w:b w:val="0"/>
          <w:i w:val="0"/>
          <w:sz w:val="22"/>
        </w:rPr>
        <w:t>4. _______________________________________________________________</w:t>
      </w:r>
    </w:p>
    <w:p>
      <w:pPr>
        <w:spacing w:before="240" w:after="120"/>
      </w:pPr>
      <w:r>
        <w:rPr>
          <w:rFonts w:ascii="Times New Roman" w:hAnsi="Times New Roman" w:eastAsia="Times New Roman"/>
          <w:b/>
          <w:i w:val="0"/>
          <w:sz w:val="24"/>
        </w:rPr>
        <w:t>F. Potvrzení</w:t>
      </w:r>
    </w:p>
    <w:p>
      <w:pPr>
        <w:spacing w:after="80" w:before="0" w:line="276" w:lineRule="auto"/>
        <w:jc w:val="both"/>
      </w:pPr>
      <w:r>
        <w:rPr>
          <w:rFonts w:ascii="Times New Roman" w:hAnsi="Times New Roman" w:eastAsia="Times New Roman"/>
          <w:b w:val="0"/>
          <w:i w:val="0"/>
          <w:sz w:val="22"/>
        </w:rPr>
        <w:t>Předávající a přebírající potvrzují, že výše uvedené položky byly předány / převzaty v uvedeném stavu. Nedostatky a výhrady:</w:t>
      </w:r>
    </w:p>
    <w:p>
      <w:pPr>
        <w:spacing w:after="40" w:before="0" w:line="276" w:lineRule="auto"/>
        <w:jc w:val="both"/>
      </w:pPr>
      <w:r>
        <w:rPr>
          <w:rFonts w:ascii="Times New Roman" w:hAnsi="Times New Roman" w:eastAsia="Times New Roman"/>
          <w:b w:val="0"/>
          <w:i w:val="0"/>
          <w:sz w:val="22"/>
        </w:rPr>
        <w:t>_________________________________________________________________</w:t>
      </w:r>
    </w:p>
    <w:p>
      <w:pPr>
        <w:spacing w:after="240" w:before="0" w:line="276" w:lineRule="auto"/>
        <w:jc w:val="both"/>
      </w:pPr>
      <w:r>
        <w:rPr>
          <w:rFonts w:ascii="Times New Roman" w:hAnsi="Times New Roman" w:eastAsia="Times New Roman"/>
          <w:b w:val="0"/>
          <w:i w:val="0"/>
          <w:sz w:val="22"/>
        </w:rPr>
        <w:t>_________________________________________________________________</w:t>
      </w:r>
    </w:p>
    <w:p>
      <w:pPr>
        <w:spacing w:after="80" w:before="0" w:line="276" w:lineRule="auto"/>
        <w:jc w:val="both"/>
      </w:pPr>
      <w:r>
        <w:rPr>
          <w:rFonts w:ascii="Times New Roman" w:hAnsi="Times New Roman" w:eastAsia="Times New Roman"/>
          <w:b/>
          <w:i w:val="0"/>
          <w:sz w:val="22"/>
        </w:rPr>
        <w:t>Za předávajícího:</w:t>
      </w:r>
    </w:p>
    <w:p>
      <w:pPr>
        <w:spacing w:after="40" w:before="0" w:line="276" w:lineRule="auto"/>
        <w:jc w:val="both"/>
      </w:pPr>
      <w:r>
        <w:rPr>
          <w:rFonts w:ascii="Times New Roman" w:hAnsi="Times New Roman" w:eastAsia="Times New Roman"/>
          <w:b w:val="0"/>
          <w:i w:val="0"/>
          <w:sz w:val="22"/>
        </w:rPr>
        <w:t>Jméno: ________________________    Podpis: ________________________</w:t>
      </w:r>
    </w:p>
    <w:p>
      <w:pPr>
        <w:spacing w:after="240" w:before="0" w:line="276" w:lineRule="auto"/>
        <w:jc w:val="both"/>
      </w:pPr>
      <w:r>
        <w:rPr>
          <w:rFonts w:ascii="Times New Roman" w:hAnsi="Times New Roman" w:eastAsia="Times New Roman"/>
          <w:b w:val="0"/>
          <w:i w:val="0"/>
          <w:sz w:val="22"/>
        </w:rPr>
        <w:t>Datum: ________________________</w:t>
      </w:r>
    </w:p>
    <w:p>
      <w:pPr>
        <w:spacing w:after="80" w:before="0" w:line="276" w:lineRule="auto"/>
        <w:jc w:val="both"/>
      </w:pPr>
      <w:r>
        <w:rPr>
          <w:rFonts w:ascii="Times New Roman" w:hAnsi="Times New Roman" w:eastAsia="Times New Roman"/>
          <w:b/>
          <w:i w:val="0"/>
          <w:sz w:val="22"/>
        </w:rPr>
        <w:t>Za přebírajícího:</w:t>
      </w:r>
    </w:p>
    <w:p>
      <w:pPr>
        <w:spacing w:after="40" w:before="0" w:line="276" w:lineRule="auto"/>
        <w:jc w:val="both"/>
      </w:pPr>
      <w:r>
        <w:rPr>
          <w:rFonts w:ascii="Times New Roman" w:hAnsi="Times New Roman" w:eastAsia="Times New Roman"/>
          <w:b w:val="0"/>
          <w:i w:val="0"/>
          <w:sz w:val="22"/>
        </w:rPr>
        <w:t>Jméno: ________________________    Podpis: ________________________</w:t>
      </w:r>
    </w:p>
    <w:p>
      <w:pPr>
        <w:spacing w:after="160" w:before="0" w:line="276" w:lineRule="auto"/>
        <w:jc w:val="both"/>
      </w:pPr>
      <w:r>
        <w:rPr>
          <w:rFonts w:ascii="Times New Roman" w:hAnsi="Times New Roman" w:eastAsia="Times New Roman"/>
          <w:b w:val="0"/>
          <w:i w:val="0"/>
          <w:sz w:val="22"/>
        </w:rPr>
        <w:t>Datum: ________________________</w:t>
      </w:r>
    </w:p>
    <w:p>
      <w:pPr>
        <w:spacing w:after="160" w:before="0" w:line="276" w:lineRule="auto"/>
        <w:jc w:val="both"/>
      </w:pPr>
      <w:r>
        <w:rPr>
          <w:rFonts w:ascii="Times New Roman" w:hAnsi="Times New Roman" w:eastAsia="Times New Roman"/>
          <w:b w:val="0"/>
          <w:i/>
          <w:sz w:val="22"/>
        </w:rPr>
        <w:t>Přílohy protokolu (seznamy): ☐ seznam smluv  ☐ seznam klíčů  ☐ jiné: ________</w:t>
      </w:r>
    </w:p>
    <w:p>
      <w:r>
        <w:br w:type="page"/>
      </w:r>
    </w:p>
    <w:p>
      <w:pPr>
        <w:spacing w:before="360" w:after="200"/>
      </w:pPr>
      <w:r>
        <w:rPr>
          <w:rFonts w:ascii="Times New Roman" w:hAnsi="Times New Roman" w:eastAsia="Times New Roman"/>
          <w:b/>
          <w:i w:val="0"/>
          <w:sz w:val="28"/>
        </w:rPr>
        <w:t>Příloha č. 5 – Ceník služeb</w:t>
      </w:r>
    </w:p>
    <w:p>
      <w:pPr>
        <w:spacing w:after="240" w:before="0" w:line="276" w:lineRule="auto"/>
        <w:jc w:val="both"/>
      </w:pPr>
      <w:r>
        <w:rPr>
          <w:rFonts w:ascii="Times New Roman" w:hAnsi="Times New Roman" w:eastAsia="Times New Roman"/>
          <w:b w:val="0"/>
          <w:i/>
          <w:sz w:val="22"/>
        </w:rPr>
        <w:t>ke Vzoru smlouvy o poskytování služeb správy SVJ – Profi Správce SVJ / vzor</w:t>
      </w:r>
    </w:p>
    <w:p>
      <w:pPr>
        <w:spacing w:before="240" w:after="120"/>
      </w:pPr>
      <w:r>
        <w:rPr>
          <w:rFonts w:ascii="Times New Roman" w:hAnsi="Times New Roman" w:eastAsia="Times New Roman"/>
          <w:b/>
          <w:i w:val="0"/>
          <w:sz w:val="24"/>
        </w:rPr>
        <w:t>1. Obecná ustanovení k cenám</w:t>
      </w:r>
    </w:p>
    <w:p>
      <w:pPr>
        <w:spacing w:after="160" w:before="0" w:line="276" w:lineRule="auto"/>
        <w:jc w:val="both"/>
      </w:pPr>
      <w:r>
        <w:rPr>
          <w:rFonts w:ascii="Times New Roman" w:hAnsi="Times New Roman" w:eastAsia="Times New Roman"/>
          <w:b w:val="0"/>
          <w:i w:val="0"/>
          <w:sz w:val="22"/>
        </w:rPr>
        <w:t>Ceny jsou uvedeny bez DPH. Pokud se DPH uplatňuje dle zákona a aktuální registrace Poskytovatele k DPH, bude na daňovém dokladu DPH připočteno v zákonné sazbě. Poskytovatel je osoba samostatně výdělečně činná (OSVČ).</w:t>
      </w:r>
    </w:p>
    <w:p>
      <w:pPr>
        <w:spacing w:after="200" w:before="0" w:line="276" w:lineRule="auto"/>
        <w:jc w:val="both"/>
      </w:pPr>
      <w:r>
        <w:rPr>
          <w:rFonts w:ascii="Times New Roman" w:hAnsi="Times New Roman" w:eastAsia="Times New Roman"/>
          <w:b w:val="0"/>
          <w:i/>
          <w:sz w:val="22"/>
        </w:rPr>
        <w:t>Částky označené jako „…… Kč“ nebo „[doplní se]“ strany doplní před podpisem smlouvy nebo samostatným písemným dodatkem / odsouhlasenou nabídkou.</w:t>
      </w:r>
    </w:p>
    <w:p>
      <w:pPr>
        <w:spacing w:before="240" w:after="120"/>
      </w:pPr>
      <w:r>
        <w:rPr>
          <w:rFonts w:ascii="Times New Roman" w:hAnsi="Times New Roman" w:eastAsia="Times New Roman"/>
          <w:b/>
          <w:i w:val="0"/>
          <w:sz w:val="24"/>
        </w:rPr>
        <w:t>2. Základní paušál správy</w:t>
      </w:r>
    </w:p>
    <w:p>
      <w:pPr>
        <w:spacing w:after="80" w:before="0" w:line="276" w:lineRule="auto"/>
        <w:jc w:val="both"/>
      </w:pPr>
      <w:r>
        <w:rPr>
          <w:rFonts w:ascii="Times New Roman" w:hAnsi="Times New Roman" w:eastAsia="Times New Roman"/>
          <w:b w:val="0"/>
          <w:i w:val="0"/>
          <w:sz w:val="22"/>
        </w:rPr>
        <w:t>Měsíční odměna za základní rozsah služeb dle Přílohy č. 1:</w:t>
      </w:r>
    </w:p>
    <w:p>
      <w:pPr>
        <w:spacing w:after="120" w:before="0" w:line="276" w:lineRule="auto"/>
        <w:jc w:val="both"/>
      </w:pPr>
      <w:r>
        <w:rPr>
          <w:rFonts w:ascii="Times New Roman" w:hAnsi="Times New Roman" w:eastAsia="Times New Roman"/>
          <w:b/>
          <w:i w:val="0"/>
          <w:sz w:val="22"/>
        </w:rPr>
        <w:t>…………… Kč / měsíc  (bez DPH)</w:t>
      </w:r>
    </w:p>
    <w:p>
      <w:pPr>
        <w:spacing w:after="120" w:before="0" w:line="276" w:lineRule="auto"/>
        <w:jc w:val="both"/>
      </w:pPr>
      <w:r>
        <w:rPr>
          <w:rFonts w:ascii="Times New Roman" w:hAnsi="Times New Roman" w:eastAsia="Times New Roman"/>
          <w:b w:val="0"/>
          <w:i w:val="0"/>
          <w:sz w:val="22"/>
        </w:rPr>
        <w:t>Případně struktura: …………… Kč / jednotka / měsíc × počet jednotek ____ = …………… Kč / měsíc.</w:t>
      </w:r>
    </w:p>
    <w:p>
      <w:pPr>
        <w:spacing w:after="200" w:before="0" w:line="276" w:lineRule="auto"/>
        <w:jc w:val="both"/>
      </w:pPr>
      <w:r>
        <w:rPr>
          <w:rFonts w:ascii="Times New Roman" w:hAnsi="Times New Roman" w:eastAsia="Times New Roman"/>
          <w:b w:val="0"/>
          <w:i w:val="0"/>
          <w:sz w:val="22"/>
        </w:rPr>
        <w:t>Paušál zahrnuje běžnou správu v rozsahu Přílohy č. 1, není-li u položky výslovně uvedeno, že jde o službu volitelnou nebo jednorázovou.</w:t>
      </w:r>
    </w:p>
    <w:p>
      <w:pPr>
        <w:spacing w:before="240" w:after="120"/>
      </w:pPr>
      <w:r>
        <w:rPr>
          <w:rFonts w:ascii="Times New Roman" w:hAnsi="Times New Roman" w:eastAsia="Times New Roman"/>
          <w:b/>
          <w:i w:val="0"/>
          <w:sz w:val="24"/>
        </w:rPr>
        <w:t>3. Volitelné a jednorázové služby</w:t>
      </w:r>
    </w:p>
    <w:tbl>
      <w:tblPr>
        <w:tblStyle w:val="TableGrid"/>
        <w:tblW w:type="auto" w:w="0"/>
        <w:tblLook w:firstColumn="1" w:firstRow="1" w:lastColumn="0" w:lastRow="0" w:noHBand="0" w:noVBand="1" w:val="04A0"/>
      </w:tblPr>
      <w:tblGrid>
        <w:gridCol w:w="3118"/>
        <w:gridCol w:w="3118"/>
        <w:gridCol w:w="3118"/>
      </w:tblGrid>
      <w:tr>
        <w:tc>
          <w:tcPr>
            <w:tcW w:type="dxa" w:w="3118"/>
          </w:tcPr>
          <w:p>
            <w:r/>
            <w:r>
              <w:rPr>
                <w:rFonts w:ascii="Times New Roman" w:hAnsi="Times New Roman" w:eastAsia="Times New Roman"/>
                <w:b/>
                <w:i w:val="0"/>
                <w:sz w:val="20"/>
              </w:rPr>
              <w:t>Služba</w:t>
            </w:r>
          </w:p>
        </w:tc>
        <w:tc>
          <w:tcPr>
            <w:tcW w:type="dxa" w:w="3118"/>
          </w:tcPr>
          <w:p>
            <w:r/>
            <w:r>
              <w:rPr>
                <w:rFonts w:ascii="Times New Roman" w:hAnsi="Times New Roman" w:eastAsia="Times New Roman"/>
                <w:b/>
                <w:i w:val="0"/>
                <w:sz w:val="20"/>
              </w:rPr>
              <w:t>Jednotka</w:t>
            </w:r>
          </w:p>
        </w:tc>
        <w:tc>
          <w:tcPr>
            <w:tcW w:type="dxa" w:w="3118"/>
          </w:tcPr>
          <w:p>
            <w:r/>
            <w:r>
              <w:rPr>
                <w:rFonts w:ascii="Times New Roman" w:hAnsi="Times New Roman" w:eastAsia="Times New Roman"/>
                <w:b/>
                <w:i w:val="0"/>
                <w:sz w:val="20"/>
              </w:rPr>
              <w:t>Cena bez DPH</w:t>
            </w:r>
          </w:p>
        </w:tc>
      </w:tr>
      <w:tr>
        <w:tc>
          <w:tcPr>
            <w:tcW w:type="dxa" w:w="3118"/>
          </w:tcPr>
          <w:p>
            <w:r/>
            <w:r>
              <w:rPr>
                <w:rFonts w:ascii="Times New Roman" w:hAnsi="Times New Roman" w:eastAsia="Times New Roman"/>
                <w:b w:val="0"/>
                <w:i w:val="0"/>
                <w:sz w:val="18"/>
              </w:rPr>
              <w:t>Mimořádné shromáždění (organizace nad rámec 1× ročně)</w:t>
            </w:r>
          </w:p>
        </w:tc>
        <w:tc>
          <w:tcPr>
            <w:tcW w:type="dxa" w:w="3118"/>
          </w:tcPr>
          <w:p>
            <w:r/>
            <w:r>
              <w:rPr>
                <w:rFonts w:ascii="Times New Roman" w:hAnsi="Times New Roman" w:eastAsia="Times New Roman"/>
                <w:b w:val="0"/>
                <w:i w:val="0"/>
                <w:sz w:val="18"/>
              </w:rPr>
              <w:t>událost</w:t>
            </w:r>
          </w:p>
        </w:tc>
        <w:tc>
          <w:tcPr>
            <w:tcW w:type="dxa" w:w="3118"/>
          </w:tcPr>
          <w:p>
            <w:r/>
            <w:r>
              <w:rPr>
                <w:rFonts w:ascii="Times New Roman" w:hAnsi="Times New Roman" w:eastAsia="Times New Roman"/>
                <w:b w:val="0"/>
                <w:i w:val="0"/>
                <w:sz w:val="18"/>
              </w:rPr>
              <w:t>……… Kč</w:t>
            </w:r>
          </w:p>
        </w:tc>
      </w:tr>
      <w:tr>
        <w:tc>
          <w:tcPr>
            <w:tcW w:type="dxa" w:w="3118"/>
          </w:tcPr>
          <w:p>
            <w:r/>
            <w:r>
              <w:rPr>
                <w:rFonts w:ascii="Times New Roman" w:hAnsi="Times New Roman" w:eastAsia="Times New Roman"/>
                <w:b w:val="0"/>
                <w:i w:val="0"/>
                <w:sz w:val="18"/>
              </w:rPr>
              <w:t>Účast / zápis na jednání Výboru mimo dohodnutý rozsah</w:t>
            </w:r>
          </w:p>
        </w:tc>
        <w:tc>
          <w:tcPr>
            <w:tcW w:type="dxa" w:w="3118"/>
          </w:tcPr>
          <w:p>
            <w:r/>
            <w:r>
              <w:rPr>
                <w:rFonts w:ascii="Times New Roman" w:hAnsi="Times New Roman" w:eastAsia="Times New Roman"/>
                <w:b w:val="0"/>
                <w:i w:val="0"/>
                <w:sz w:val="18"/>
              </w:rPr>
              <w:t>hodina</w:t>
            </w:r>
          </w:p>
        </w:tc>
        <w:tc>
          <w:tcPr>
            <w:tcW w:type="dxa" w:w="3118"/>
          </w:tcPr>
          <w:p>
            <w:r/>
            <w:r>
              <w:rPr>
                <w:rFonts w:ascii="Times New Roman" w:hAnsi="Times New Roman" w:eastAsia="Times New Roman"/>
                <w:b w:val="0"/>
                <w:i w:val="0"/>
                <w:sz w:val="18"/>
              </w:rPr>
              <w:t>……… Kč</w:t>
            </w:r>
          </w:p>
        </w:tc>
      </w:tr>
      <w:tr>
        <w:tc>
          <w:tcPr>
            <w:tcW w:type="dxa" w:w="3118"/>
          </w:tcPr>
          <w:p>
            <w:r/>
            <w:r>
              <w:rPr>
                <w:rFonts w:ascii="Times New Roman" w:hAnsi="Times New Roman" w:eastAsia="Times New Roman"/>
                <w:b w:val="0"/>
                <w:i w:val="0"/>
                <w:sz w:val="18"/>
              </w:rPr>
              <w:t>Jednorázové administrativní práce nad rámec paušálu</w:t>
            </w:r>
          </w:p>
        </w:tc>
        <w:tc>
          <w:tcPr>
            <w:tcW w:type="dxa" w:w="3118"/>
          </w:tcPr>
          <w:p>
            <w:r/>
            <w:r>
              <w:rPr>
                <w:rFonts w:ascii="Times New Roman" w:hAnsi="Times New Roman" w:eastAsia="Times New Roman"/>
                <w:b w:val="0"/>
                <w:i w:val="0"/>
                <w:sz w:val="18"/>
              </w:rPr>
              <w:t>hodina</w:t>
            </w:r>
          </w:p>
        </w:tc>
        <w:tc>
          <w:tcPr>
            <w:tcW w:type="dxa" w:w="3118"/>
          </w:tcPr>
          <w:p>
            <w:r/>
            <w:r>
              <w:rPr>
                <w:rFonts w:ascii="Times New Roman" w:hAnsi="Times New Roman" w:eastAsia="Times New Roman"/>
                <w:b w:val="0"/>
                <w:i w:val="0"/>
                <w:sz w:val="18"/>
              </w:rPr>
              <w:t>……… Kč</w:t>
            </w:r>
          </w:p>
        </w:tc>
      </w:tr>
      <w:tr>
        <w:tc>
          <w:tcPr>
            <w:tcW w:type="dxa" w:w="3118"/>
          </w:tcPr>
          <w:p>
            <w:r/>
            <w:r>
              <w:rPr>
                <w:rFonts w:ascii="Times New Roman" w:hAnsi="Times New Roman" w:eastAsia="Times New Roman"/>
                <w:b w:val="0"/>
                <w:i w:val="0"/>
                <w:sz w:val="18"/>
              </w:rPr>
              <w:t>Koordinace větší opravy / rekonstrukce</w:t>
            </w:r>
          </w:p>
        </w:tc>
        <w:tc>
          <w:tcPr>
            <w:tcW w:type="dxa" w:w="3118"/>
          </w:tcPr>
          <w:p>
            <w:r/>
            <w:r>
              <w:rPr>
                <w:rFonts w:ascii="Times New Roman" w:hAnsi="Times New Roman" w:eastAsia="Times New Roman"/>
                <w:b w:val="0"/>
                <w:i w:val="0"/>
                <w:sz w:val="18"/>
              </w:rPr>
              <w:t>hodina / % z díla</w:t>
            </w:r>
          </w:p>
        </w:tc>
        <w:tc>
          <w:tcPr>
            <w:tcW w:type="dxa" w:w="3118"/>
          </w:tcPr>
          <w:p>
            <w:r/>
            <w:r>
              <w:rPr>
                <w:rFonts w:ascii="Times New Roman" w:hAnsi="Times New Roman" w:eastAsia="Times New Roman"/>
                <w:b w:val="0"/>
                <w:i w:val="0"/>
                <w:sz w:val="18"/>
              </w:rPr>
              <w:t>……… Kč / [doplní se]</w:t>
            </w:r>
          </w:p>
        </w:tc>
      </w:tr>
      <w:tr>
        <w:tc>
          <w:tcPr>
            <w:tcW w:type="dxa" w:w="3118"/>
          </w:tcPr>
          <w:p>
            <w:r/>
            <w:r>
              <w:rPr>
                <w:rFonts w:ascii="Times New Roman" w:hAnsi="Times New Roman" w:eastAsia="Times New Roman"/>
                <w:b w:val="0"/>
                <w:i w:val="0"/>
                <w:sz w:val="18"/>
              </w:rPr>
              <w:t>Součinnost při stavebním dozoru (koordinace, nikoli autorizovaný dozor)</w:t>
            </w:r>
          </w:p>
        </w:tc>
        <w:tc>
          <w:tcPr>
            <w:tcW w:type="dxa" w:w="3118"/>
          </w:tcPr>
          <w:p>
            <w:r/>
            <w:r>
              <w:rPr>
                <w:rFonts w:ascii="Times New Roman" w:hAnsi="Times New Roman" w:eastAsia="Times New Roman"/>
                <w:b w:val="0"/>
                <w:i w:val="0"/>
                <w:sz w:val="18"/>
              </w:rPr>
              <w:t>hodina</w:t>
            </w:r>
          </w:p>
        </w:tc>
        <w:tc>
          <w:tcPr>
            <w:tcW w:type="dxa" w:w="3118"/>
          </w:tcPr>
          <w:p>
            <w:r/>
            <w:r>
              <w:rPr>
                <w:rFonts w:ascii="Times New Roman" w:hAnsi="Times New Roman" w:eastAsia="Times New Roman"/>
                <w:b w:val="0"/>
                <w:i w:val="0"/>
                <w:sz w:val="18"/>
              </w:rPr>
              <w:t>……… Kč</w:t>
            </w:r>
          </w:p>
        </w:tc>
      </w:tr>
      <w:tr>
        <w:tc>
          <w:tcPr>
            <w:tcW w:type="dxa" w:w="3118"/>
          </w:tcPr>
          <w:p>
            <w:r/>
            <w:r>
              <w:rPr>
                <w:rFonts w:ascii="Times New Roman" w:hAnsi="Times New Roman" w:eastAsia="Times New Roman"/>
                <w:b w:val="0"/>
                <w:i w:val="0"/>
                <w:sz w:val="18"/>
              </w:rPr>
              <w:t>Příprava podkladů pro soudní / právní vymáhání</w:t>
            </w:r>
          </w:p>
        </w:tc>
        <w:tc>
          <w:tcPr>
            <w:tcW w:type="dxa" w:w="3118"/>
          </w:tcPr>
          <w:p>
            <w:r/>
            <w:r>
              <w:rPr>
                <w:rFonts w:ascii="Times New Roman" w:hAnsi="Times New Roman" w:eastAsia="Times New Roman"/>
                <w:b w:val="0"/>
                <w:i w:val="0"/>
                <w:sz w:val="18"/>
              </w:rPr>
              <w:t>hodina</w:t>
            </w:r>
          </w:p>
        </w:tc>
        <w:tc>
          <w:tcPr>
            <w:tcW w:type="dxa" w:w="3118"/>
          </w:tcPr>
          <w:p>
            <w:r/>
            <w:r>
              <w:rPr>
                <w:rFonts w:ascii="Times New Roman" w:hAnsi="Times New Roman" w:eastAsia="Times New Roman"/>
                <w:b w:val="0"/>
                <w:i w:val="0"/>
                <w:sz w:val="18"/>
              </w:rPr>
              <w:t>……… Kč</w:t>
            </w:r>
          </w:p>
        </w:tc>
      </w:tr>
      <w:tr>
        <w:tc>
          <w:tcPr>
            <w:tcW w:type="dxa" w:w="3118"/>
          </w:tcPr>
          <w:p>
            <w:r/>
            <w:r>
              <w:rPr>
                <w:rFonts w:ascii="Times New Roman" w:hAnsi="Times New Roman" w:eastAsia="Times New Roman"/>
                <w:b w:val="0"/>
                <w:i w:val="0"/>
                <w:sz w:val="18"/>
              </w:rPr>
              <w:t>Mimořádný report / audit podkladů na žádost</w:t>
            </w:r>
          </w:p>
        </w:tc>
        <w:tc>
          <w:tcPr>
            <w:tcW w:type="dxa" w:w="3118"/>
          </w:tcPr>
          <w:p>
            <w:r/>
            <w:r>
              <w:rPr>
                <w:rFonts w:ascii="Times New Roman" w:hAnsi="Times New Roman" w:eastAsia="Times New Roman"/>
                <w:b w:val="0"/>
                <w:i w:val="0"/>
                <w:sz w:val="18"/>
              </w:rPr>
              <w:t>hodina</w:t>
            </w:r>
          </w:p>
        </w:tc>
        <w:tc>
          <w:tcPr>
            <w:tcW w:type="dxa" w:w="3118"/>
          </w:tcPr>
          <w:p>
            <w:r/>
            <w:r>
              <w:rPr>
                <w:rFonts w:ascii="Times New Roman" w:hAnsi="Times New Roman" w:eastAsia="Times New Roman"/>
                <w:b w:val="0"/>
                <w:i w:val="0"/>
                <w:sz w:val="18"/>
              </w:rPr>
              <w:t>……… Kč</w:t>
            </w:r>
          </w:p>
        </w:tc>
      </w:tr>
      <w:tr>
        <w:tc>
          <w:tcPr>
            <w:tcW w:type="dxa" w:w="3118"/>
          </w:tcPr>
          <w:p>
            <w:r/>
            <w:r>
              <w:rPr>
                <w:rFonts w:ascii="Times New Roman" w:hAnsi="Times New Roman" w:eastAsia="Times New Roman"/>
                <w:b w:val="0"/>
                <w:i w:val="0"/>
                <w:sz w:val="18"/>
              </w:rPr>
              <w:t>Jiné dle individuální nabídky</w:t>
            </w:r>
          </w:p>
        </w:tc>
        <w:tc>
          <w:tcPr>
            <w:tcW w:type="dxa" w:w="3118"/>
          </w:tcPr>
          <w:p>
            <w:r/>
            <w:r>
              <w:rPr>
                <w:rFonts w:ascii="Times New Roman" w:hAnsi="Times New Roman" w:eastAsia="Times New Roman"/>
                <w:b w:val="0"/>
                <w:i w:val="0"/>
                <w:sz w:val="18"/>
              </w:rPr>
              <w:t>dle nabídky</w:t>
            </w:r>
          </w:p>
        </w:tc>
        <w:tc>
          <w:tcPr>
            <w:tcW w:type="dxa" w:w="3118"/>
          </w:tcPr>
          <w:p>
            <w:r/>
            <w:r>
              <w:rPr>
                <w:rFonts w:ascii="Times New Roman" w:hAnsi="Times New Roman" w:eastAsia="Times New Roman"/>
                <w:b w:val="0"/>
                <w:i w:val="0"/>
                <w:sz w:val="18"/>
              </w:rPr>
              <w:t>[doplní se]</w:t>
            </w:r>
          </w:p>
        </w:tc>
      </w:tr>
    </w:tbl>
    <w:p>
      <w:pPr>
        <w:spacing w:after="160" w:before="0" w:line="276" w:lineRule="auto"/>
        <w:jc w:val="both"/>
      </w:pPr>
      <w:r>
        <w:rPr>
          <w:rFonts w:ascii="Times New Roman" w:hAnsi="Times New Roman" w:eastAsia="Times New Roman"/>
          <w:b w:val="0"/>
          <w:i w:val="0"/>
          <w:sz w:val="22"/>
        </w:rPr>
      </w:r>
    </w:p>
    <w:p>
      <w:pPr>
        <w:spacing w:before="240" w:after="120"/>
      </w:pPr>
      <w:r>
        <w:rPr>
          <w:rFonts w:ascii="Times New Roman" w:hAnsi="Times New Roman" w:eastAsia="Times New Roman"/>
          <w:b/>
          <w:i w:val="0"/>
          <w:sz w:val="24"/>
        </w:rPr>
        <w:t>4. Náklady třetích stran</w:t>
      </w:r>
    </w:p>
    <w:p>
      <w:pPr>
        <w:spacing w:after="200" w:before="0" w:line="276" w:lineRule="auto"/>
        <w:jc w:val="both"/>
      </w:pPr>
      <w:r>
        <w:rPr>
          <w:rFonts w:ascii="Times New Roman" w:hAnsi="Times New Roman" w:eastAsia="Times New Roman"/>
          <w:b w:val="0"/>
          <w:i w:val="0"/>
          <w:sz w:val="22"/>
        </w:rPr>
        <w:t>Energie, pojištění, opravy provedené dodavateli, právní služby, soudní poplatky, správní poplatky a obdobné náklady nejsou zahrnuty v paušálu a hradí je Objednatel přímo, případně na základě přeúčtování dokladů Poskytovatelem.</w:t>
      </w:r>
    </w:p>
    <w:p>
      <w:pPr>
        <w:spacing w:before="240" w:after="120"/>
      </w:pPr>
      <w:r>
        <w:rPr>
          <w:rFonts w:ascii="Times New Roman" w:hAnsi="Times New Roman" w:eastAsia="Times New Roman"/>
          <w:b/>
          <w:i w:val="0"/>
          <w:sz w:val="24"/>
        </w:rPr>
        <w:t>5. Platební podmínky (odkaz)</w:t>
      </w:r>
    </w:p>
    <w:p>
      <w:pPr>
        <w:spacing w:after="200" w:before="0" w:line="276" w:lineRule="auto"/>
        <w:jc w:val="both"/>
      </w:pPr>
      <w:r>
        <w:rPr>
          <w:rFonts w:ascii="Times New Roman" w:hAnsi="Times New Roman" w:eastAsia="Times New Roman"/>
          <w:b w:val="0"/>
          <w:i w:val="0"/>
          <w:sz w:val="22"/>
        </w:rPr>
        <w:t>Fakturace a splatnost se řídí čl. 6 smlouvy. Bankovní spojení Poskytovatele bude uvedeno na faktuře. Variabilní symbol: dle faktury.</w:t>
      </w:r>
    </w:p>
    <w:p>
      <w:pPr>
        <w:spacing w:before="240" w:after="120"/>
      </w:pPr>
      <w:r>
        <w:rPr>
          <w:rFonts w:ascii="Times New Roman" w:hAnsi="Times New Roman" w:eastAsia="Times New Roman"/>
          <w:b/>
          <w:i w:val="0"/>
          <w:sz w:val="24"/>
        </w:rPr>
        <w:t>6. Potvrzení Ceníku</w:t>
      </w:r>
    </w:p>
    <w:p>
      <w:pPr>
        <w:spacing w:after="240" w:before="0" w:line="276" w:lineRule="auto"/>
        <w:jc w:val="both"/>
      </w:pPr>
      <w:r>
        <w:rPr>
          <w:rFonts w:ascii="Times New Roman" w:hAnsi="Times New Roman" w:eastAsia="Times New Roman"/>
          <w:b w:val="0"/>
          <w:i w:val="0"/>
          <w:sz w:val="22"/>
        </w:rPr>
        <w:t>Strany potvrzují, že se seznámily s tímto Ceníkem a že prázdné položky doplní před zahájením účtování.</w:t>
      </w:r>
    </w:p>
    <w:p>
      <w:pPr>
        <w:spacing w:after="160" w:before="0" w:line="276" w:lineRule="auto"/>
        <w:jc w:val="both"/>
      </w:pPr>
      <w:r>
        <w:rPr>
          <w:rFonts w:ascii="Times New Roman" w:hAnsi="Times New Roman" w:eastAsia="Times New Roman"/>
          <w:b w:val="0"/>
          <w:i w:val="0"/>
          <w:sz w:val="22"/>
        </w:rPr>
        <w:t>Za Poskytovatele: Bc. Martin Pohl    Podpis: ________________    Datum: ________</w:t>
      </w:r>
    </w:p>
    <w:p>
      <w:pPr>
        <w:spacing w:after="320" w:before="0" w:line="276" w:lineRule="auto"/>
        <w:jc w:val="both"/>
      </w:pPr>
      <w:r>
        <w:rPr>
          <w:rFonts w:ascii="Times New Roman" w:hAnsi="Times New Roman" w:eastAsia="Times New Roman"/>
          <w:b w:val="0"/>
          <w:i w:val="0"/>
          <w:sz w:val="22"/>
        </w:rPr>
        <w:t>Za Objednatele (Výbor): ________________    Podpis: ________________    Datum: ________</w:t>
      </w:r>
    </w:p>
    <w:p>
      <w:r>
        <w:br w:type="page"/>
      </w:r>
    </w:p>
    <w:p>
      <w:pPr>
        <w:spacing w:before="360" w:after="200"/>
      </w:pPr>
      <w:r>
        <w:rPr>
          <w:rFonts w:ascii="Times New Roman" w:hAnsi="Times New Roman" w:eastAsia="Times New Roman"/>
          <w:b/>
          <w:i w:val="0"/>
          <w:sz w:val="28"/>
        </w:rPr>
        <w:t>Příloha č. 6 – Vzor vyúčtování služeb (orientační)</w:t>
      </w:r>
    </w:p>
    <w:p>
      <w:pPr>
        <w:spacing w:after="200" w:before="0" w:line="276" w:lineRule="auto"/>
        <w:jc w:val="both"/>
      </w:pPr>
      <w:r>
        <w:rPr>
          <w:rFonts w:ascii="Times New Roman" w:hAnsi="Times New Roman" w:eastAsia="Times New Roman"/>
          <w:b w:val="0"/>
          <w:i/>
          <w:sz w:val="22"/>
        </w:rPr>
        <w:t>ke Vzoru smlouvy o poskytování služeb správy SVJ – Profi Správce SVJ / vzor</w:t>
      </w:r>
    </w:p>
    <w:p>
      <w:pPr>
        <w:spacing w:after="160" w:before="0" w:line="276" w:lineRule="auto"/>
        <w:jc w:val="both"/>
      </w:pPr>
      <w:r>
        <w:rPr>
          <w:rFonts w:ascii="Times New Roman" w:hAnsi="Times New Roman" w:eastAsia="Times New Roman"/>
          <w:b w:val="0"/>
          <w:i w:val="0"/>
          <w:sz w:val="22"/>
        </w:rPr>
        <w:t>Tato příloha obsahuje vzorovou strukturu vyúčtování služeb spojených s užíváním jednotek, které Poskytovatel zpracovává a předkládá vlastníkům jednotek / Objednateli. Konkrétní číselné údaje, stavy měřidel a koeficienty se doplní za příslušné zúčtovací období. Struktura a obsah vyúčtování jsou v souladu s vyhláškou o rozúčtování nákladů na vytápění a společnou přípravu teplé vody pro dům a se stanovami Objednatele; Poskytovatel může použít ekvivalentní formát poskytující stejné informace.</w:t>
      </w:r>
    </w:p>
    <w:p>
      <w:pPr>
        <w:spacing w:after="240" w:before="0" w:line="276" w:lineRule="auto"/>
        <w:jc w:val="both"/>
      </w:pPr>
      <w:r>
        <w:rPr>
          <w:rFonts w:ascii="Times New Roman" w:hAnsi="Times New Roman" w:eastAsia="Times New Roman"/>
          <w:b w:val="0"/>
          <w:i w:val="0"/>
          <w:sz w:val="22"/>
        </w:rPr>
        <w:t>Identifikace (doplní se): SVJ / dům: ____________________    Jednotka č.: ________    Vlastník: ____________________    Zúčtovací období: __________ – __________</w:t>
      </w:r>
    </w:p>
    <w:tbl>
      <w:tblPr>
        <w:tblW w:type="auto" w:w="0"/>
        <w:jc w:val="center"/>
        <w:tblLayout w:type="autofit"/>
        <w:tblLook w:firstColumn="1" w:firstRow="1" w:lastColumn="0" w:lastRow="0" w:noHBand="0" w:noVBand="1" w:val="04A0"/>
      </w:tblPr>
      <w:tblGrid>
        <w:gridCol w:w="9355"/>
      </w:tblGrid>
      <w:tr>
        <w:tc>
          <w:tcPr>
            <w:tcW w:type="dxa" w:w="9355"/>
            <w:shd w:fill="4A4A4A" w:val="clear"/>
            <w:tcMar>
              <w:top w:w="60" w:type="dxa"/>
              <w:bottom w:w="60" w:type="dxa"/>
              <w:left w:w="80" w:type="dxa"/>
              <w:right w:w="80" w:type="dxa"/>
            </w:tcMar>
            <w:tcBorders>
              <w:top w:val="single" w:sz="4" w:color="4A4A4A"/>
              <w:left w:val="single" w:sz="4" w:color="4A4A4A"/>
              <w:bottom w:val="single" w:sz="4" w:color="4A4A4A"/>
              <w:right w:val="single" w:sz="4" w:color="4A4A4A"/>
            </w:tcBorders>
          </w:tcPr>
          <w:p>
            <w:pPr>
              <w:spacing w:before="40" w:after="40"/>
              <w:jc w:val="center"/>
            </w:pPr>
            <w:r>
              <w:rPr>
                <w:rFonts w:ascii="Times New Roman" w:hAnsi="Times New Roman" w:eastAsia="Times New Roman"/>
                <w:b/>
                <w:i w:val="0"/>
                <w:color w:val="FFFFFF"/>
                <w:sz w:val="22"/>
              </w:rPr>
              <w:t>Orientační rozpis rozpočítání nákladů</w:t>
            </w:r>
          </w:p>
        </w:tc>
      </w:tr>
    </w:tbl>
    <w:p>
      <w:pPr>
        <w:spacing w:after="40" w:before="0"/>
      </w:pPr>
    </w:p>
    <w:tbl>
      <w:tblPr>
        <w:tblStyle w:val="TableGrid"/>
        <w:tblW w:type="auto" w:w="0"/>
        <w:jc w:val="center"/>
        <w:tblLook w:firstColumn="1" w:firstRow="1" w:lastColumn="0" w:lastRow="0" w:noHBand="0" w:noVBand="1" w:val="04A0"/>
      </w:tblPr>
      <w:tblGrid>
        <w:gridCol w:w="1336"/>
        <w:gridCol w:w="1336"/>
        <w:gridCol w:w="1336"/>
        <w:gridCol w:w="1336"/>
        <w:gridCol w:w="1336"/>
        <w:gridCol w:w="1336"/>
        <w:gridCol w:w="1336"/>
      </w:tblGrid>
      <w:tr>
        <w:tc>
          <w:tcPr>
            <w:tcW w:type="dxa" w:w="1336"/>
            <w:shd w:fill="E8E8E8" w:val="clear"/>
          </w:tcPr>
          <w:p>
            <w:pPr>
              <w:jc w:val="center"/>
            </w:pPr>
            <w:r/>
            <w:r>
              <w:rPr>
                <w:rFonts w:ascii="Times New Roman" w:hAnsi="Times New Roman" w:eastAsia="Times New Roman"/>
                <w:b/>
                <w:i w:val="0"/>
                <w:sz w:val="14"/>
              </w:rPr>
              <w:t>Služba / položka</w:t>
            </w:r>
          </w:p>
        </w:tc>
        <w:tc>
          <w:tcPr>
            <w:tcW w:type="dxa" w:w="1336"/>
            <w:shd w:fill="E8E8E8" w:val="clear"/>
          </w:tcPr>
          <w:p>
            <w:pPr>
              <w:jc w:val="center"/>
            </w:pPr>
            <w:r/>
            <w:r>
              <w:rPr>
                <w:rFonts w:ascii="Times New Roman" w:hAnsi="Times New Roman" w:eastAsia="Times New Roman"/>
                <w:b/>
                <w:i w:val="0"/>
                <w:sz w:val="14"/>
              </w:rPr>
              <w:t>Celkem za objekt [Kč]</w:t>
            </w:r>
          </w:p>
        </w:tc>
        <w:tc>
          <w:tcPr>
            <w:tcW w:type="dxa" w:w="1336"/>
            <w:shd w:fill="E8E8E8" w:val="clear"/>
          </w:tcPr>
          <w:p>
            <w:pPr>
              <w:jc w:val="center"/>
            </w:pPr>
            <w:r/>
            <w:r>
              <w:rPr>
                <w:rFonts w:ascii="Times New Roman" w:hAnsi="Times New Roman" w:eastAsia="Times New Roman"/>
                <w:b/>
                <w:i w:val="0"/>
                <w:sz w:val="14"/>
              </w:rPr>
              <w:t>Kritérium rozúčtování</w:t>
            </w:r>
          </w:p>
        </w:tc>
        <w:tc>
          <w:tcPr>
            <w:tcW w:type="dxa" w:w="1336"/>
            <w:shd w:fill="E8E8E8" w:val="clear"/>
          </w:tcPr>
          <w:p>
            <w:pPr>
              <w:jc w:val="center"/>
            </w:pPr>
            <w:r/>
            <w:r>
              <w:rPr>
                <w:rFonts w:ascii="Times New Roman" w:hAnsi="Times New Roman" w:eastAsia="Times New Roman"/>
                <w:b/>
                <w:i w:val="0"/>
                <w:sz w:val="14"/>
              </w:rPr>
              <w:t>Hodnota jednotky</w:t>
            </w:r>
          </w:p>
        </w:tc>
        <w:tc>
          <w:tcPr>
            <w:tcW w:type="dxa" w:w="1336"/>
            <w:shd w:fill="E8E8E8" w:val="clear"/>
          </w:tcPr>
          <w:p>
            <w:pPr>
              <w:jc w:val="center"/>
            </w:pPr>
            <w:r/>
            <w:r>
              <w:rPr>
                <w:rFonts w:ascii="Times New Roman" w:hAnsi="Times New Roman" w:eastAsia="Times New Roman"/>
                <w:b/>
                <w:i w:val="0"/>
                <w:sz w:val="14"/>
              </w:rPr>
              <w:t>Jednotka</w:t>
            </w:r>
          </w:p>
        </w:tc>
        <w:tc>
          <w:tcPr>
            <w:tcW w:type="dxa" w:w="1336"/>
            <w:shd w:fill="E8E8E8" w:val="clear"/>
          </w:tcPr>
          <w:p>
            <w:pPr>
              <w:jc w:val="center"/>
            </w:pPr>
            <w:r/>
            <w:r>
              <w:rPr>
                <w:rFonts w:ascii="Times New Roman" w:hAnsi="Times New Roman" w:eastAsia="Times New Roman"/>
                <w:b/>
                <w:i w:val="0"/>
                <w:sz w:val="14"/>
              </w:rPr>
              <w:t>Cena za jednotku [Kč]</w:t>
            </w:r>
          </w:p>
        </w:tc>
        <w:tc>
          <w:tcPr>
            <w:tcW w:type="dxa" w:w="1336"/>
            <w:shd w:fill="E8E8E8" w:val="clear"/>
          </w:tcPr>
          <w:p>
            <w:pPr>
              <w:jc w:val="center"/>
            </w:pPr>
            <w:r/>
            <w:r>
              <w:rPr>
                <w:rFonts w:ascii="Times New Roman" w:hAnsi="Times New Roman" w:eastAsia="Times New Roman"/>
                <w:b/>
                <w:i w:val="0"/>
                <w:sz w:val="14"/>
              </w:rPr>
              <w:t>Podíl jednotky [Kč]</w:t>
            </w:r>
          </w:p>
        </w:tc>
      </w:tr>
      <w:tr>
        <w:tc>
          <w:tcPr>
            <w:tcW w:type="dxa" w:w="1336"/>
          </w:tcPr>
          <w:p>
            <w:r/>
            <w:r>
              <w:rPr>
                <w:rFonts w:ascii="Times New Roman" w:hAnsi="Times New Roman" w:eastAsia="Times New Roman"/>
                <w:b w:val="0"/>
                <w:i w:val="0"/>
                <w:sz w:val="14"/>
              </w:rPr>
              <w:t>Teplo – základní složka</w:t>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r>
      <w:tr>
        <w:tc>
          <w:tcPr>
            <w:tcW w:type="dxa" w:w="1336"/>
          </w:tcPr>
          <w:p>
            <w:r/>
            <w:r>
              <w:rPr>
                <w:rFonts w:ascii="Times New Roman" w:hAnsi="Times New Roman" w:eastAsia="Times New Roman"/>
                <w:b w:val="0"/>
                <w:i w:val="0"/>
                <w:sz w:val="14"/>
              </w:rPr>
              <w:t>Teplo – spotřební složka</w:t>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r>
      <w:tr>
        <w:tc>
          <w:tcPr>
            <w:tcW w:type="dxa" w:w="1336"/>
          </w:tcPr>
          <w:p>
            <w:r/>
            <w:r>
              <w:rPr>
                <w:rFonts w:ascii="Times New Roman" w:hAnsi="Times New Roman" w:eastAsia="Times New Roman"/>
                <w:b w:val="0"/>
                <w:i w:val="0"/>
                <w:sz w:val="14"/>
              </w:rPr>
              <w:t>TUV – základní složka</w:t>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r>
      <w:tr>
        <w:tc>
          <w:tcPr>
            <w:tcW w:type="dxa" w:w="1336"/>
          </w:tcPr>
          <w:p>
            <w:r/>
            <w:r>
              <w:rPr>
                <w:rFonts w:ascii="Times New Roman" w:hAnsi="Times New Roman" w:eastAsia="Times New Roman"/>
                <w:b w:val="0"/>
                <w:i w:val="0"/>
                <w:sz w:val="14"/>
              </w:rPr>
              <w:t>TUV – spotřební složka</w:t>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r>
      <w:tr>
        <w:tc>
          <w:tcPr>
            <w:tcW w:type="dxa" w:w="1336"/>
          </w:tcPr>
          <w:p>
            <w:r/>
            <w:r>
              <w:rPr>
                <w:rFonts w:ascii="Times New Roman" w:hAnsi="Times New Roman" w:eastAsia="Times New Roman"/>
                <w:b w:val="0"/>
                <w:i w:val="0"/>
                <w:sz w:val="14"/>
              </w:rPr>
              <w:t>Studená voda (SV)</w:t>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r>
      <w:tr>
        <w:tc>
          <w:tcPr>
            <w:tcW w:type="dxa" w:w="1336"/>
          </w:tcPr>
          <w:p>
            <w:r/>
            <w:r>
              <w:rPr>
                <w:rFonts w:ascii="Times New Roman" w:hAnsi="Times New Roman" w:eastAsia="Times New Roman"/>
                <w:b w:val="0"/>
                <w:i w:val="0"/>
                <w:sz w:val="14"/>
              </w:rPr>
              <w:t>Stočné / kanalizace</w:t>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r>
      <w:tr>
        <w:tc>
          <w:tcPr>
            <w:tcW w:type="dxa" w:w="1336"/>
          </w:tcPr>
          <w:p>
            <w:r/>
            <w:r>
              <w:rPr>
                <w:rFonts w:ascii="Times New Roman" w:hAnsi="Times New Roman" w:eastAsia="Times New Roman"/>
                <w:b w:val="0"/>
                <w:i w:val="0"/>
                <w:sz w:val="14"/>
              </w:rPr>
              <w:t>Společná elektřina</w:t>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r>
      <w:tr>
        <w:tc>
          <w:tcPr>
            <w:tcW w:type="dxa" w:w="1336"/>
          </w:tcPr>
          <w:p>
            <w:r/>
            <w:r>
              <w:rPr>
                <w:rFonts w:ascii="Times New Roman" w:hAnsi="Times New Roman" w:eastAsia="Times New Roman"/>
                <w:b w:val="0"/>
                <w:i w:val="0"/>
                <w:sz w:val="14"/>
              </w:rPr>
              <w:t>Ostatní služby / úklid aj.</w:t>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c>
          <w:tcPr>
            <w:tcW w:type="dxa" w:w="1336"/>
          </w:tcPr>
          <w:p>
            <w:r/>
            <w:r>
              <w:rPr>
                <w:rFonts w:ascii="Times New Roman" w:hAnsi="Times New Roman" w:eastAsia="Times New Roman"/>
                <w:b w:val="0"/>
                <w:i w:val="0"/>
                <w:sz w:val="14"/>
              </w:rPr>
            </w:r>
          </w:p>
        </w:tc>
      </w:tr>
    </w:tbl>
    <w:p>
      <w:pPr>
        <w:spacing w:after="120" w:before="0" w:line="276" w:lineRule="auto"/>
        <w:jc w:val="both"/>
      </w:pPr>
      <w:r>
        <w:rPr>
          <w:rFonts w:ascii="Times New Roman" w:hAnsi="Times New Roman" w:eastAsia="Times New Roman"/>
          <w:b w:val="0"/>
          <w:i w:val="0"/>
          <w:sz w:val="22"/>
        </w:rPr>
      </w:r>
    </w:p>
    <w:tbl>
      <w:tblPr>
        <w:tblW w:type="auto" w:w="0"/>
        <w:jc w:val="center"/>
        <w:tblLayout w:type="autofit"/>
        <w:tblLook w:firstColumn="1" w:firstRow="1" w:lastColumn="0" w:lastRow="0" w:noHBand="0" w:noVBand="1" w:val="04A0"/>
      </w:tblPr>
      <w:tblGrid>
        <w:gridCol w:w="9355"/>
      </w:tblGrid>
      <w:tr>
        <w:tc>
          <w:tcPr>
            <w:tcW w:type="dxa" w:w="9355"/>
            <w:shd w:fill="4A4A4A" w:val="clear"/>
            <w:tcMar>
              <w:top w:w="60" w:type="dxa"/>
              <w:bottom w:w="60" w:type="dxa"/>
              <w:left w:w="80" w:type="dxa"/>
              <w:right w:w="80" w:type="dxa"/>
            </w:tcMar>
            <w:tcBorders>
              <w:top w:val="single" w:sz="4" w:color="4A4A4A"/>
              <w:left w:val="single" w:sz="4" w:color="4A4A4A"/>
              <w:bottom w:val="single" w:sz="4" w:color="4A4A4A"/>
              <w:right w:val="single" w:sz="4" w:color="4A4A4A"/>
            </w:tcBorders>
          </w:tcPr>
          <w:p>
            <w:pPr>
              <w:spacing w:before="40" w:after="40"/>
              <w:jc w:val="center"/>
            </w:pPr>
            <w:r>
              <w:rPr>
                <w:rFonts w:ascii="Times New Roman" w:hAnsi="Times New Roman" w:eastAsia="Times New Roman"/>
                <w:b/>
                <w:i w:val="0"/>
                <w:color w:val="FFFFFF"/>
                <w:sz w:val="22"/>
              </w:rPr>
              <w:t>Stavy měřidel</w:t>
            </w:r>
          </w:p>
        </w:tc>
      </w:tr>
    </w:tbl>
    <w:p>
      <w:pPr>
        <w:spacing w:after="40" w:before="0"/>
      </w:pPr>
    </w:p>
    <w:tbl>
      <w:tblPr>
        <w:tblStyle w:val="TableGrid"/>
        <w:tblW w:type="auto" w:w="0"/>
        <w:jc w:val="center"/>
        <w:tblLook w:firstColumn="1" w:firstRow="1" w:lastColumn="0" w:lastRow="0" w:noHBand="0" w:noVBand="1" w:val="04A0"/>
      </w:tblPr>
      <w:tblGrid>
        <w:gridCol w:w="1559"/>
        <w:gridCol w:w="1559"/>
        <w:gridCol w:w="1559"/>
        <w:gridCol w:w="1559"/>
        <w:gridCol w:w="1559"/>
        <w:gridCol w:w="1559"/>
      </w:tblGrid>
      <w:tr>
        <w:tc>
          <w:tcPr>
            <w:tcW w:type="dxa" w:w="1559"/>
            <w:shd w:fill="E8E8E8" w:val="clear"/>
          </w:tcPr>
          <w:p>
            <w:pPr>
              <w:jc w:val="center"/>
            </w:pPr>
            <w:r/>
            <w:r>
              <w:rPr>
                <w:rFonts w:ascii="Times New Roman" w:hAnsi="Times New Roman" w:eastAsia="Times New Roman"/>
                <w:b/>
                <w:i w:val="0"/>
                <w:sz w:val="16"/>
              </w:rPr>
              <w:t>Typ měřidla</w:t>
            </w:r>
          </w:p>
        </w:tc>
        <w:tc>
          <w:tcPr>
            <w:tcW w:type="dxa" w:w="1559"/>
            <w:shd w:fill="E8E8E8" w:val="clear"/>
          </w:tcPr>
          <w:p>
            <w:pPr>
              <w:jc w:val="center"/>
            </w:pPr>
            <w:r/>
            <w:r>
              <w:rPr>
                <w:rFonts w:ascii="Times New Roman" w:hAnsi="Times New Roman" w:eastAsia="Times New Roman"/>
                <w:b/>
                <w:i w:val="0"/>
                <w:sz w:val="16"/>
              </w:rPr>
              <w:t>Výrobní číslo</w:t>
            </w:r>
          </w:p>
        </w:tc>
        <w:tc>
          <w:tcPr>
            <w:tcW w:type="dxa" w:w="1559"/>
            <w:shd w:fill="E8E8E8" w:val="clear"/>
          </w:tcPr>
          <w:p>
            <w:pPr>
              <w:jc w:val="center"/>
            </w:pPr>
            <w:r/>
            <w:r>
              <w:rPr>
                <w:rFonts w:ascii="Times New Roman" w:hAnsi="Times New Roman" w:eastAsia="Times New Roman"/>
                <w:b/>
                <w:i w:val="0"/>
                <w:sz w:val="16"/>
              </w:rPr>
              <w:t>Počáteční stav</w:t>
            </w:r>
          </w:p>
        </w:tc>
        <w:tc>
          <w:tcPr>
            <w:tcW w:type="dxa" w:w="1559"/>
            <w:shd w:fill="E8E8E8" w:val="clear"/>
          </w:tcPr>
          <w:p>
            <w:pPr>
              <w:jc w:val="center"/>
            </w:pPr>
            <w:r/>
            <w:r>
              <w:rPr>
                <w:rFonts w:ascii="Times New Roman" w:hAnsi="Times New Roman" w:eastAsia="Times New Roman"/>
                <w:b/>
                <w:i w:val="0"/>
                <w:sz w:val="16"/>
              </w:rPr>
              <w:t>Konečný stav</w:t>
            </w:r>
          </w:p>
        </w:tc>
        <w:tc>
          <w:tcPr>
            <w:tcW w:type="dxa" w:w="1559"/>
            <w:shd w:fill="E8E8E8" w:val="clear"/>
          </w:tcPr>
          <w:p>
            <w:pPr>
              <w:jc w:val="center"/>
            </w:pPr>
            <w:r/>
            <w:r>
              <w:rPr>
                <w:rFonts w:ascii="Times New Roman" w:hAnsi="Times New Roman" w:eastAsia="Times New Roman"/>
                <w:b/>
                <w:i w:val="0"/>
                <w:sz w:val="16"/>
              </w:rPr>
              <w:t>Spotřeba</w:t>
            </w:r>
          </w:p>
        </w:tc>
        <w:tc>
          <w:tcPr>
            <w:tcW w:type="dxa" w:w="1559"/>
            <w:shd w:fill="E8E8E8" w:val="clear"/>
          </w:tcPr>
          <w:p>
            <w:pPr>
              <w:jc w:val="center"/>
            </w:pPr>
            <w:r/>
            <w:r>
              <w:rPr>
                <w:rFonts w:ascii="Times New Roman" w:hAnsi="Times New Roman" w:eastAsia="Times New Roman"/>
                <w:b/>
                <w:i w:val="0"/>
                <w:sz w:val="16"/>
              </w:rPr>
              <w:t>Jednotka</w:t>
            </w:r>
          </w:p>
        </w:tc>
      </w:tr>
      <w:tr>
        <w:tc>
          <w:tcPr>
            <w:tcW w:type="dxa" w:w="1559"/>
          </w:tcPr>
          <w:p>
            <w:r/>
            <w:r>
              <w:rPr>
                <w:rFonts w:ascii="Times New Roman" w:hAnsi="Times New Roman" w:eastAsia="Times New Roman"/>
                <w:b w:val="0"/>
                <w:i w:val="0"/>
                <w:sz w:val="16"/>
              </w:rPr>
              <w:t>SV (studená voda)</w:t>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t>m³</w:t>
            </w:r>
          </w:p>
        </w:tc>
      </w:tr>
      <w:tr>
        <w:tc>
          <w:tcPr>
            <w:tcW w:type="dxa" w:w="1559"/>
          </w:tcPr>
          <w:p>
            <w:r/>
            <w:r>
              <w:rPr>
                <w:rFonts w:ascii="Times New Roman" w:hAnsi="Times New Roman" w:eastAsia="Times New Roman"/>
                <w:b w:val="0"/>
                <w:i w:val="0"/>
                <w:sz w:val="16"/>
              </w:rPr>
              <w:t>TUV (teplá užitková voda)</w:t>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t>m³</w:t>
            </w:r>
          </w:p>
        </w:tc>
      </w:tr>
      <w:tr>
        <w:tc>
          <w:tcPr>
            <w:tcW w:type="dxa" w:w="1559"/>
          </w:tcPr>
          <w:p>
            <w:r/>
            <w:r>
              <w:rPr>
                <w:rFonts w:ascii="Times New Roman" w:hAnsi="Times New Roman" w:eastAsia="Times New Roman"/>
                <w:b w:val="0"/>
                <w:i w:val="0"/>
                <w:sz w:val="16"/>
              </w:rPr>
              <w:t>RTN / indikátor tepla</w:t>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t>dílky / kWh</w:t>
            </w:r>
          </w:p>
        </w:tc>
      </w:tr>
      <w:tr>
        <w:tc>
          <w:tcPr>
            <w:tcW w:type="dxa" w:w="1559"/>
          </w:tcPr>
          <w:p>
            <w:r/>
            <w:r>
              <w:rPr>
                <w:rFonts w:ascii="Times New Roman" w:hAnsi="Times New Roman" w:eastAsia="Times New Roman"/>
                <w:b w:val="0"/>
                <w:i w:val="0"/>
                <w:sz w:val="16"/>
              </w:rPr>
              <w:t>Elektřina společných prostor*</w:t>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t>kWh</w:t>
            </w:r>
          </w:p>
        </w:tc>
      </w:tr>
      <w:tr>
        <w:tc>
          <w:tcPr>
            <w:tcW w:type="dxa" w:w="1559"/>
          </w:tcPr>
          <w:p>
            <w:r/>
            <w:r>
              <w:rPr>
                <w:rFonts w:ascii="Times New Roman" w:hAnsi="Times New Roman" w:eastAsia="Times New Roman"/>
                <w:b w:val="0"/>
                <w:i w:val="0"/>
                <w:sz w:val="16"/>
              </w:rPr>
              <w:t>Jiné měřidlo</w:t>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c>
          <w:tcPr>
            <w:tcW w:type="dxa" w:w="1559"/>
          </w:tcPr>
          <w:p>
            <w:r/>
            <w:r>
              <w:rPr>
                <w:rFonts w:ascii="Times New Roman" w:hAnsi="Times New Roman" w:eastAsia="Times New Roman"/>
                <w:b w:val="0"/>
                <w:i w:val="0"/>
                <w:sz w:val="16"/>
              </w:rPr>
            </w:r>
          </w:p>
        </w:tc>
      </w:tr>
    </w:tbl>
    <w:p>
      <w:pPr>
        <w:spacing w:after="160" w:before="0" w:line="276" w:lineRule="auto"/>
        <w:jc w:val="both"/>
      </w:pPr>
      <w:r>
        <w:rPr>
          <w:rFonts w:ascii="Times New Roman" w:hAnsi="Times New Roman" w:eastAsia="Times New Roman"/>
          <w:b w:val="0"/>
          <w:i/>
          <w:sz w:val="22"/>
        </w:rPr>
        <w:t>* Je-li měřena a rozúčtována na jednotky.</w:t>
      </w:r>
    </w:p>
    <w:tbl>
      <w:tblPr>
        <w:tblW w:type="auto" w:w="0"/>
        <w:jc w:val="center"/>
        <w:tblLayout w:type="autofit"/>
        <w:tblLook w:firstColumn="1" w:firstRow="1" w:lastColumn="0" w:lastRow="0" w:noHBand="0" w:noVBand="1" w:val="04A0"/>
      </w:tblPr>
      <w:tblGrid>
        <w:gridCol w:w="9355"/>
      </w:tblGrid>
      <w:tr>
        <w:tc>
          <w:tcPr>
            <w:tcW w:type="dxa" w:w="9355"/>
            <w:shd w:fill="4A4A4A" w:val="clear"/>
            <w:tcMar>
              <w:top w:w="60" w:type="dxa"/>
              <w:bottom w:w="60" w:type="dxa"/>
              <w:left w:w="80" w:type="dxa"/>
              <w:right w:w="80" w:type="dxa"/>
            </w:tcMar>
            <w:tcBorders>
              <w:top w:val="single" w:sz="4" w:color="4A4A4A"/>
              <w:left w:val="single" w:sz="4" w:color="4A4A4A"/>
              <w:bottom w:val="single" w:sz="4" w:color="4A4A4A"/>
              <w:right w:val="single" w:sz="4" w:color="4A4A4A"/>
            </w:tcBorders>
          </w:tcPr>
          <w:p>
            <w:pPr>
              <w:spacing w:before="40" w:after="40"/>
              <w:jc w:val="center"/>
            </w:pPr>
            <w:r>
              <w:rPr>
                <w:rFonts w:ascii="Times New Roman" w:hAnsi="Times New Roman" w:eastAsia="Times New Roman"/>
                <w:b/>
                <w:i w:val="0"/>
                <w:color w:val="FFFFFF"/>
                <w:sz w:val="22"/>
              </w:rPr>
              <w:t>Korekce tepla</w:t>
            </w:r>
          </w:p>
        </w:tc>
      </w:tr>
    </w:tbl>
    <w:p>
      <w:pPr>
        <w:spacing w:after="40" w:before="0"/>
      </w:pPr>
    </w:p>
    <w:tbl>
      <w:tblPr>
        <w:tblStyle w:val="TableGrid"/>
        <w:tblW w:type="auto" w:w="0"/>
        <w:jc w:val="center"/>
        <w:tblLook w:firstColumn="1" w:firstRow="1" w:lastColumn="0" w:lastRow="0" w:noHBand="0" w:noVBand="1" w:val="04A0"/>
      </w:tblPr>
      <w:tblGrid>
        <w:gridCol w:w="1871"/>
        <w:gridCol w:w="1871"/>
        <w:gridCol w:w="1871"/>
        <w:gridCol w:w="1871"/>
        <w:gridCol w:w="1871"/>
      </w:tblGrid>
      <w:tr>
        <w:tc>
          <w:tcPr>
            <w:tcW w:type="dxa" w:w="1871"/>
            <w:shd w:fill="E8E8E8" w:val="clear"/>
          </w:tcPr>
          <w:p>
            <w:pPr>
              <w:jc w:val="center"/>
            </w:pPr>
            <w:r/>
            <w:r>
              <w:rPr>
                <w:rFonts w:ascii="Times New Roman" w:hAnsi="Times New Roman" w:eastAsia="Times New Roman"/>
                <w:b/>
                <w:i w:val="0"/>
                <w:sz w:val="16"/>
              </w:rPr>
              <w:t>Jednotka / poloha</w:t>
            </w:r>
          </w:p>
        </w:tc>
        <w:tc>
          <w:tcPr>
            <w:tcW w:type="dxa" w:w="1871"/>
            <w:shd w:fill="E8E8E8" w:val="clear"/>
          </w:tcPr>
          <w:p>
            <w:pPr>
              <w:jc w:val="center"/>
            </w:pPr>
            <w:r/>
            <w:r>
              <w:rPr>
                <w:rFonts w:ascii="Times New Roman" w:hAnsi="Times New Roman" w:eastAsia="Times New Roman"/>
                <w:b/>
                <w:i w:val="0"/>
                <w:sz w:val="16"/>
              </w:rPr>
              <w:t>Koeficient</w:t>
            </w:r>
          </w:p>
        </w:tc>
        <w:tc>
          <w:tcPr>
            <w:tcW w:type="dxa" w:w="1871"/>
            <w:shd w:fill="E8E8E8" w:val="clear"/>
          </w:tcPr>
          <w:p>
            <w:pPr>
              <w:jc w:val="center"/>
            </w:pPr>
            <w:r/>
            <w:r>
              <w:rPr>
                <w:rFonts w:ascii="Times New Roman" w:hAnsi="Times New Roman" w:eastAsia="Times New Roman"/>
                <w:b/>
                <w:i w:val="0"/>
                <w:sz w:val="16"/>
              </w:rPr>
              <w:t>Spotřeba před korekcí</w:t>
            </w:r>
          </w:p>
        </w:tc>
        <w:tc>
          <w:tcPr>
            <w:tcW w:type="dxa" w:w="1871"/>
            <w:shd w:fill="E8E8E8" w:val="clear"/>
          </w:tcPr>
          <w:p>
            <w:pPr>
              <w:jc w:val="center"/>
            </w:pPr>
            <w:r/>
            <w:r>
              <w:rPr>
                <w:rFonts w:ascii="Times New Roman" w:hAnsi="Times New Roman" w:eastAsia="Times New Roman"/>
                <w:b/>
                <w:i w:val="0"/>
                <w:sz w:val="16"/>
              </w:rPr>
              <w:t>Po korekci</w:t>
            </w:r>
          </w:p>
        </w:tc>
        <w:tc>
          <w:tcPr>
            <w:tcW w:type="dxa" w:w="1871"/>
            <w:shd w:fill="E8E8E8" w:val="clear"/>
          </w:tcPr>
          <w:p>
            <w:pPr>
              <w:jc w:val="center"/>
            </w:pPr>
            <w:r/>
            <w:r>
              <w:rPr>
                <w:rFonts w:ascii="Times New Roman" w:hAnsi="Times New Roman" w:eastAsia="Times New Roman"/>
                <w:b/>
                <w:i w:val="0"/>
                <w:sz w:val="16"/>
              </w:rPr>
              <w:t>Poznámka</w:t>
            </w:r>
          </w:p>
        </w:tc>
      </w:tr>
      <w:tr>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r>
      <w:tr>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r>
      <w:tr>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r>
      <w:tr>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r>
      <w:tr>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r>
      <w:tr>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c>
          <w:tcPr>
            <w:tcW w:type="dxa" w:w="1871"/>
          </w:tcPr>
          <w:p>
            <w:r/>
            <w:r>
              <w:rPr>
                <w:rFonts w:ascii="Times New Roman" w:hAnsi="Times New Roman" w:eastAsia="Times New Roman"/>
                <w:b w:val="0"/>
                <w:i w:val="0"/>
                <w:sz w:val="16"/>
              </w:rPr>
              <w:t xml:space="preserve"> </w:t>
            </w:r>
          </w:p>
        </w:tc>
      </w:tr>
    </w:tbl>
    <w:p>
      <w:pPr>
        <w:spacing w:after="120" w:before="0" w:line="276" w:lineRule="auto"/>
        <w:jc w:val="both"/>
      </w:pPr>
      <w:r>
        <w:rPr>
          <w:rFonts w:ascii="Times New Roman" w:hAnsi="Times New Roman" w:eastAsia="Times New Roman"/>
          <w:b w:val="0"/>
          <w:i w:val="0"/>
          <w:sz w:val="22"/>
        </w:rPr>
      </w:r>
    </w:p>
    <w:p>
      <w:pPr>
        <w:spacing w:after="200" w:before="0" w:line="276" w:lineRule="auto"/>
        <w:jc w:val="both"/>
      </w:pPr>
      <w:r>
        <w:rPr>
          <w:rFonts w:ascii="Times New Roman" w:hAnsi="Times New Roman" w:eastAsia="Times New Roman"/>
          <w:b w:val="0"/>
          <w:i/>
          <w:sz w:val="22"/>
        </w:rPr>
        <w:t>Poznámka: Korekce (polohové koeficienty) se uplatní v rozsahu a způsobem vyplývajícím z platné vyhlášky o rozúčtování nákladů na vytápění a společnou přípravu teplé vody a ze stanov Objednatele. Prázdné řádky slouží k doplnění údajů za zúčtovací období.</w:t>
      </w:r>
    </w:p>
    <w:p>
      <w:pPr>
        <w:spacing w:after="240" w:before="0" w:line="276" w:lineRule="auto"/>
        <w:jc w:val="both"/>
      </w:pPr>
      <w:r>
        <w:rPr>
          <w:rFonts w:ascii="Times New Roman" w:hAnsi="Times New Roman" w:eastAsia="Times New Roman"/>
          <w:b w:val="0"/>
          <w:i/>
          <w:sz w:val="22"/>
        </w:rPr>
        <w:t>Tento vzor je orientační; Poskytovatel je oprávněn použít výstup ze svého informačního systému / softwaru pro správu, pokud zachová srozumitelnost a zákonem požadované náležitosti vyúčtování.</w:t>
      </w:r>
    </w:p>
    <w:p>
      <w:pPr>
        <w:spacing w:after="120" w:before="0" w:line="276" w:lineRule="auto"/>
        <w:jc w:val="center"/>
      </w:pPr>
      <w:r>
        <w:rPr>
          <w:rFonts w:ascii="Times New Roman" w:hAnsi="Times New Roman" w:eastAsia="Times New Roman"/>
          <w:b w:val="0"/>
          <w:i/>
          <w:sz w:val="22"/>
        </w:rPr>
        <w:t>— Konec dokumentu —</w:t>
      </w:r>
    </w:p>
    <w:p>
      <w:pPr>
        <w:spacing w:after="120" w:before="0" w:line="276" w:lineRule="auto"/>
        <w:jc w:val="center"/>
      </w:pPr>
      <w:r>
        <w:rPr>
          <w:rFonts w:ascii="Times New Roman" w:hAnsi="Times New Roman" w:eastAsia="Times New Roman"/>
          <w:b w:val="0"/>
          <w:i/>
          <w:sz w:val="22"/>
        </w:rPr>
        <w:t>Návrh vzoru k posouzení smluvními stranami; nenahrazuje samostatné právní poradenství.</w:t>
      </w:r>
    </w:p>
    <w:sectPr w:rsidR="00FC693F" w:rsidRPr="0006063C" w:rsidSect="00034616">
      <w:headerReference w:type="default" r:id="rId9"/>
      <w:footerReference w:type="default" r:id="rId10"/>
      <w:pgSz w:w="11906" w:h="16838"/>
      <w:pgMar w:top="1247" w:right="1134" w:bottom="1247" w:left="141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6" w:space="4" w:color="888888"/>
      </w:pBdr>
    </w:pPr>
    <w:r>
      <w:rPr>
        <w:rFonts w:ascii="Times New Roman" w:hAnsi="Times New Roman" w:eastAsia="Times New Roman"/>
        <w:b w:val="0"/>
        <w:i w:val="0"/>
        <w:sz w:val="16"/>
      </w:rPr>
      <w:t xml:space="preserve">Strana </w:t>
    </w:r>
    <w:r>
      <w:rPr>
        <w:rFonts w:ascii="Times New Roman" w:hAnsi="Times New Roman" w:eastAsia="Times New Roman"/>
        <w:b w:val="0"/>
        <w:i w:val="0"/>
        <w:sz w:val="16"/>
      </w:rPr>
      <w:fldChar w:fldCharType="begin"/>
    </w:r>
    <w:r>
      <w:rPr>
        <w:rFonts w:ascii="Times New Roman" w:hAnsi="Times New Roman" w:eastAsia="Times New Roman"/>
        <w:b w:val="0"/>
        <w:i w:val="0"/>
        <w:sz w:val="16"/>
      </w:rPr>
      <w:instrText xml:space="preserve"> PAGE </w:instrText>
    </w:r>
    <w:r>
      <w:rPr>
        <w:rFonts w:ascii="Times New Roman" w:hAnsi="Times New Roman" w:eastAsia="Times New Roman"/>
        <w:b w:val="0"/>
        <w:i w:val="0"/>
        <w:sz w:val="16"/>
      </w:rPr>
      <w:fldChar w:fldCharType="end"/>
    </w:r>
    <w:r>
      <w:rPr>
        <w:rFonts w:ascii="Times New Roman" w:hAnsi="Times New Roman" w:eastAsia="Times New Roman"/>
        <w:b w:val="0"/>
        <w:i w:val="0"/>
        <w:sz w:val="16"/>
      </w:rPr>
      <w:t xml:space="preserve"> / </w:t>
    </w:r>
    <w:r>
      <w:fldChar w:fldCharType="begin"/>
    </w:r>
    <w:r>
      <w:instrText xml:space="preserve"> NUMPAGES </w:instrText>
    </w:r>
    <w:r>
      <w:fldChar w:fldCharType="end"/>
    </w:r>
    <w:r>
      <w:rPr>
        <w:rFonts w:ascii="Times New Roman" w:hAnsi="Times New Roman" w:eastAsia="Times New Roman"/>
        <w:b w:val="0"/>
        <w:i/>
        <w:color w:val="666666"/>
        <w:sz w:val="14"/>
      </w:rPr>
      <w:t xml:space="preserve">  |  Návrh vzoru k posouzení smluvními stranami; nenahrazuje samostatné právní poradenství.</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6" w:space="4" w:color="888888"/>
      </w:pBdr>
    </w:pPr>
    <w:r>
      <w:rPr>
        <w:rFonts w:ascii="Times New Roman" w:hAnsi="Times New Roman" w:eastAsia="Times New Roman"/>
        <w:b w:val="0"/>
        <w:i/>
        <w:color w:val="555555"/>
        <w:sz w:val="16"/>
      </w:rPr>
      <w:t>Vzor smlouvy o poskytování služeb správy SVJ | Profi Správce SVJ – Bc. Martin Pohl / vzor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