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76" w:lineRule="auto"/>
        <w:jc w:val="center"/>
      </w:pPr>
      <w:r>
        <w:rPr>
          <w:rFonts w:ascii="Times New Roman" w:hAnsi="Times New Roman" w:eastAsia="Times New Roman"/>
          <w:b/>
          <w:i w:val="0"/>
          <w:sz w:val="36"/>
        </w:rPr>
        <w:t>RÁMCOVÁ SMLOUVA</w:t>
      </w:r>
    </w:p>
    <w:p>
      <w:pPr>
        <w:spacing w:after="80" w:before="0" w:line="276" w:lineRule="auto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o poskytování účetních služeb pro společenství vlastníků jednotek</w:t>
      </w:r>
    </w:p>
    <w:p>
      <w:pPr>
        <w:spacing w:after="280" w:before="0" w:line="276" w:lineRule="auto"/>
        <w:jc w:val="center"/>
      </w:pPr>
      <w:r>
        <w:rPr>
          <w:rFonts w:ascii="Times New Roman" w:hAnsi="Times New Roman" w:eastAsia="Times New Roman"/>
          <w:b w:val="0"/>
          <w:i/>
          <w:sz w:val="22"/>
        </w:rPr>
        <w:t>uzavřená podle § 1746 odst. 2 zákona č. 89/2012 Sb., občanský zákoník, ve znění pozdějších předpisů (dále jen „občanský zákoník“ nebo „OZ“); ve věcech touto smlouvou neupravených se přiměřeně použijí ustanovení občanského zákoníku o příkazu (§ 2430 a násl. OZ)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i w:val="0"/>
          <w:sz w:val="24"/>
        </w:rPr>
        <w:t>Smluvní strany</w:t>
      </w:r>
    </w:p>
    <w:p>
      <w:pPr>
        <w:spacing w:after="20" w:before="0" w:line="276" w:lineRule="auto"/>
        <w:jc w:val="left"/>
      </w:pPr>
      <w:r>
        <w:rPr>
          <w:rFonts w:ascii="Times New Roman" w:hAnsi="Times New Roman" w:eastAsia="Times New Roman"/>
          <w:b/>
          <w:i w:val="0"/>
          <w:sz w:val="22"/>
        </w:rPr>
        <w:t>Objednatel:</w:t>
      </w:r>
    </w:p>
    <w:p>
      <w:pPr>
        <w:spacing w:after="20" w:before="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[Správce]</w:t>
      </w:r>
    </w:p>
    <w:p>
      <w:pPr>
        <w:spacing w:after="20" w:before="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IČO: [doplnit]</w:t>
      </w:r>
    </w:p>
    <w:p>
      <w:pPr>
        <w:spacing w:after="20" w:before="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místo podnikání: [doplnit]</w:t>
      </w:r>
    </w:p>
    <w:p>
      <w:pPr>
        <w:spacing w:after="20" w:before="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tel.: [doplnit], e-mail: [doplnit]</w:t>
      </w:r>
    </w:p>
    <w:p>
      <w:pPr>
        <w:spacing w:after="20" w:before="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bankovní spojení: [doplnit]</w:t>
      </w:r>
    </w:p>
    <w:p>
      <w:pPr>
        <w:spacing w:after="200" w:before="0" w:line="276" w:lineRule="auto"/>
        <w:jc w:val="left"/>
      </w:pPr>
      <w:r>
        <w:rPr>
          <w:rFonts w:ascii="Times New Roman" w:hAnsi="Times New Roman" w:eastAsia="Times New Roman"/>
          <w:b w:val="0"/>
          <w:i/>
          <w:sz w:val="22"/>
        </w:rPr>
        <w:t>(dále jen „Objednatel“)</w:t>
      </w:r>
    </w:p>
    <w:p>
      <w:pPr>
        <w:spacing w:after="200" w:before="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a</w:t>
      </w:r>
    </w:p>
    <w:p>
      <w:pPr>
        <w:spacing w:after="20" w:before="0" w:line="276" w:lineRule="auto"/>
        <w:jc w:val="left"/>
      </w:pPr>
      <w:r>
        <w:rPr>
          <w:rFonts w:ascii="Times New Roman" w:hAnsi="Times New Roman" w:eastAsia="Times New Roman"/>
          <w:b/>
          <w:i w:val="0"/>
          <w:sz w:val="22"/>
        </w:rPr>
        <w:t>Zhotovitel:</w:t>
      </w:r>
    </w:p>
    <w:p>
      <w:pPr>
        <w:spacing w:after="20" w:before="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[doplnit – jméno a příjmení / obchodní firma]</w:t>
      </w:r>
    </w:p>
    <w:p>
      <w:pPr>
        <w:spacing w:after="20" w:before="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IČO: [doplnit], DIČ: [doplnit]</w:t>
      </w:r>
    </w:p>
    <w:p>
      <w:pPr>
        <w:spacing w:after="20" w:before="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sídlo / místo podnikání: [doplnit]</w:t>
      </w:r>
    </w:p>
    <w:p>
      <w:pPr>
        <w:spacing w:after="20" w:before="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zapsaný/á v [doplnit – živnostenský rejstřík / obchodní rejstřík vedený …, oddíl …, vložka …]</w:t>
      </w:r>
    </w:p>
    <w:p>
      <w:pPr>
        <w:spacing w:after="20" w:before="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zastoupený/á: [doplnit, je-li právnickou osobou]</w:t>
      </w:r>
    </w:p>
    <w:p>
      <w:pPr>
        <w:spacing w:after="20" w:before="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tel.: [doplnit], e-mail: [doplnit], datová schránka: [doplnit]</w:t>
      </w:r>
    </w:p>
    <w:p>
      <w:pPr>
        <w:spacing w:after="20" w:before="0" w:line="276" w:lineRule="auto"/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bankovní spojení: [doplnit]</w:t>
      </w:r>
    </w:p>
    <w:p>
      <w:pPr>
        <w:spacing w:after="240" w:before="0" w:line="276" w:lineRule="auto"/>
        <w:jc w:val="left"/>
      </w:pPr>
      <w:r>
        <w:rPr>
          <w:rFonts w:ascii="Times New Roman" w:hAnsi="Times New Roman" w:eastAsia="Times New Roman"/>
          <w:b w:val="0"/>
          <w:i/>
          <w:sz w:val="22"/>
        </w:rPr>
        <w:t>(dále jen „Zhotovitel“; Objednatel a Zhotovitel společně „smluvní strany“)</w:t>
      </w:r>
    </w:p>
    <w:p>
      <w:pPr>
        <w:spacing w:before="360" w:after="200"/>
      </w:pPr>
      <w:r>
        <w:rPr>
          <w:rFonts w:ascii="Times New Roman" w:hAnsi="Times New Roman" w:eastAsia="Times New Roman"/>
          <w:b/>
          <w:i w:val="0"/>
          <w:sz w:val="28"/>
        </w:rPr>
        <w:t>Článek 1 – Úvodní ustanovení a definice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1.1  </w:t>
      </w:r>
      <w:r>
        <w:rPr>
          <w:rFonts w:ascii="Times New Roman" w:hAnsi="Times New Roman" w:eastAsia="Times New Roman"/>
          <w:b w:val="0"/>
          <w:i w:val="0"/>
          <w:sz w:val="22"/>
        </w:rPr>
        <w:t>Objednatel poskytuje společenstvím vlastníků jednotek služby správy domu na základě smluv o správě. Součástí služeb, které Objednatel společenstvím zajišťuje, je vedení účetnictví. Objednatel není držitelem živnostenského oprávnění pro vázanou živnost „Činnost účetních poradců, vedení účetnictví, vedení daňové evidence“ podle přílohy č. 2 zákona č. 455/1991 Sb., živnostenský zákon (dále jen „živnostenský zákon“), a účetnictví proto sám nevede.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1.2  </w:t>
      </w:r>
      <w:r>
        <w:rPr>
          <w:rFonts w:ascii="Times New Roman" w:hAnsi="Times New Roman" w:eastAsia="Times New Roman"/>
          <w:b w:val="0"/>
          <w:i w:val="0"/>
          <w:sz w:val="22"/>
        </w:rPr>
        <w:t>Účelem této smlouvy je upravit podmínky, za nichž Zhotovitel jako odborně způsobilý subdodavatel povede vlastním jménem a na vlastní odpovědnost účetnictví společenství uvedených v Příloze č. 1.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1.3  </w:t>
      </w:r>
      <w:r>
        <w:rPr>
          <w:rFonts w:ascii="Times New Roman" w:hAnsi="Times New Roman" w:eastAsia="Times New Roman"/>
          <w:b w:val="0"/>
          <w:i w:val="0"/>
          <w:sz w:val="22"/>
        </w:rPr>
        <w:t>V této smlouvě se rozumí:</w:t>
      </w:r>
    </w:p>
    <w:p>
      <w:pPr>
        <w:spacing w:after="80" w:before="0" w:line="276" w:lineRule="auto"/>
        <w:ind w:left="68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„SVJ“ – společenství vlastníků jednotek uvedené v Příloze č. 1, se kterým má Objednatel uzavřenu Smlouvu o správě;</w:t>
      </w:r>
    </w:p>
    <w:p>
      <w:pPr>
        <w:spacing w:after="80" w:before="0" w:line="276" w:lineRule="auto"/>
        <w:ind w:left="68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„Smlouva o správě“ – smlouva mezi Objednatelem a SVJ o poskytování služeb správy;</w:t>
      </w:r>
    </w:p>
    <w:p>
      <w:pPr>
        <w:spacing w:after="80" w:before="0" w:line="276" w:lineRule="auto"/>
        <w:ind w:left="68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„Účetní služby“ – činnosti podle čl. 3;</w:t>
      </w:r>
    </w:p>
    <w:p>
      <w:pPr>
        <w:spacing w:after="80" w:before="0" w:line="276" w:lineRule="auto"/>
        <w:ind w:left="68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„Podklady“ – účetní doklady, výpisy, smlouvy a jiné informace potřebné k poskytování Účetních služeb;</w:t>
      </w:r>
    </w:p>
    <w:p>
      <w:pPr>
        <w:spacing w:after="80" w:before="0" w:line="276" w:lineRule="auto"/>
        <w:ind w:left="68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„Účetní záznamy“ – účetní záznamy ve smyslu zákona č. 563/1991 Sb., o účetnictví (dále jen „zákon o účetnictví“ nebo „ZÚ“);</w:t>
      </w:r>
    </w:p>
    <w:p>
      <w:pPr>
        <w:spacing w:after="80" w:before="0" w:line="276" w:lineRule="auto"/>
        <w:ind w:left="68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„GDPR“ – nařízení Evropského parlamentu a Rady (EU) 2016/679 (obecné nařízení o ochraně osobních údajů).</w:t>
      </w:r>
    </w:p>
    <w:p>
      <w:pPr>
        <w:spacing w:before="360" w:after="200"/>
      </w:pPr>
      <w:r>
        <w:rPr>
          <w:rFonts w:ascii="Times New Roman" w:hAnsi="Times New Roman" w:eastAsia="Times New Roman"/>
          <w:b/>
          <w:i w:val="0"/>
          <w:sz w:val="28"/>
        </w:rPr>
        <w:t>Článek 2 – Prohlášení a povinnosti Zhotovitele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2.1  </w:t>
      </w:r>
      <w:r>
        <w:rPr>
          <w:rFonts w:ascii="Times New Roman" w:hAnsi="Times New Roman" w:eastAsia="Times New Roman"/>
          <w:b w:val="0"/>
          <w:i w:val="0"/>
          <w:sz w:val="22"/>
        </w:rPr>
        <w:t>Zhotovitel prohlašuje, že je držitelem živnostenského oprávnění pro vázanou živnost „Činnost účetních poradců, vedení účetnictví, vedení daňové evidence“ podle přílohy č. 2 živnostenského zákona, evidovaného v živnostenském rejstříku [doplnit – identifikace oprávnění / den vzniku], a že splňuje podmínky odborné způsobilosti stanovené pro tuto živnost. Výpis z živnostenského rejstříku je přílohou této smlouvy nebo jej Zhotovitel předá při jejím podpisu.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2.2  </w:t>
      </w:r>
      <w:r>
        <w:rPr>
          <w:rFonts w:ascii="Times New Roman" w:hAnsi="Times New Roman" w:eastAsia="Times New Roman"/>
          <w:b w:val="0"/>
          <w:i w:val="0"/>
          <w:sz w:val="22"/>
        </w:rPr>
        <w:t>Zhotovitel se zavazuje udržovat živnostenské oprávnění po celou dobu trvání této smlouvy a písemně informovat Objednatele do 3 pracovních dnů o jeho přerušení, pozastavení, zrušení či zániku, o zahájení insolvenčního řízení vůči své osobě a o jakékoli skutečnosti, která mu brání v řádném plnění.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2.3  </w:t>
      </w:r>
      <w:r>
        <w:rPr>
          <w:rFonts w:ascii="Times New Roman" w:hAnsi="Times New Roman" w:eastAsia="Times New Roman"/>
          <w:b w:val="0"/>
          <w:i w:val="0"/>
          <w:sz w:val="22"/>
        </w:rPr>
        <w:t>Zhotovitel prohlašuje, že má odborné znalosti, personální a technické vybavení (včetně účetního software) potřebné k řádnému poskytování Účetních služeb a že bude postupovat s odbornou péčí (§ 5 odst. 1 OZ) v souladu s právními předpisy, zejména se zákonem o účetnictví, vyhláškou č. 504/2002 Sb. (pro účetní jednotky, u kterých hlavním předmětem činnosti není podnikání), Českými účetními standardy, daňovými předpisy a stanovami SVJ.</w:t>
      </w:r>
    </w:p>
    <w:p>
      <w:pPr>
        <w:spacing w:before="360" w:after="200"/>
      </w:pPr>
      <w:r>
        <w:rPr>
          <w:rFonts w:ascii="Times New Roman" w:hAnsi="Times New Roman" w:eastAsia="Times New Roman"/>
          <w:b/>
          <w:i w:val="0"/>
          <w:sz w:val="28"/>
        </w:rPr>
        <w:t>Článek 3 – Předmět smlouvy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3.1  </w:t>
      </w:r>
      <w:r>
        <w:rPr>
          <w:rFonts w:ascii="Times New Roman" w:hAnsi="Times New Roman" w:eastAsia="Times New Roman"/>
          <w:b w:val="0"/>
          <w:i w:val="0"/>
          <w:sz w:val="22"/>
        </w:rPr>
        <w:t>Zhotovitel se zavazuje poskytovat pro každé SVJ uvedené v Příloze č. 1 zejména tyto Účetní služby:</w:t>
      </w:r>
    </w:p>
    <w:p>
      <w:pPr>
        <w:spacing w:after="80" w:before="0" w:line="276" w:lineRule="auto"/>
        <w:ind w:left="68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a) vedení účetnictví SVJ podle zákona o účetnictví a prováděcích předpisů, včetně vedení účetních knih, analytické evidence fondů (zejména fondu oprav), saldokonta předpisů a úhrad vlastníků jednotek a podkladů pro inventarizaci (§ 29 a 30 ZÚ);</w:t>
      </w:r>
    </w:p>
    <w:p>
      <w:pPr>
        <w:spacing w:after="80" w:before="0" w:line="276" w:lineRule="auto"/>
        <w:ind w:left="68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b) sestavení roční účetní závěrky a předání podkladů pro její zveřejnění ve sbírce listin (§ 21a ZÚ);</w:t>
      </w:r>
    </w:p>
    <w:p>
      <w:pPr>
        <w:spacing w:after="80" w:before="0" w:line="276" w:lineRule="auto"/>
        <w:ind w:left="68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c) zpracování daňového přiznání SVJ k dani z příjmů právnických osob, je-li SVJ povinno je podat, a dalších daňových přiznání, hlášení a vyúčtování SVJ (zejména vyúčtování daně z příjmů ze závislé činnosti a daně vybírané srážkou);</w:t>
      </w:r>
    </w:p>
    <w:p>
      <w:pPr>
        <w:spacing w:after="80" w:before="0" w:line="276" w:lineRule="auto"/>
        <w:ind w:left="68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d) mzdovou agendu, pokud SVJ vyplácí odměny členům volených orgánů nebo má uzavřeny dohody o pracích konaných mimo pracovní poměr (zejména dohody o provedení práce): výpočet odměn, srážek a odvodů, přihlášky a odhlášky, přehledy a hlášení pro orgány sociálního zabezpečení a zdravotní pojišťovny a vedení mzdových listů;</w:t>
      </w:r>
    </w:p>
    <w:p>
      <w:pPr>
        <w:spacing w:after="80" w:before="0" w:line="276" w:lineRule="auto"/>
        <w:ind w:left="68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e) zpracování účetních podkladů pro roční vyúčtování služeb spojených s užíváním jednotek (přehled skutečných nákladů na jednotlivé služby a přijatých záloh); samotné vyúčtování vůči vlastníkům zpracovává Objednatel;</w:t>
      </w:r>
    </w:p>
    <w:p>
      <w:pPr>
        <w:spacing w:after="80" w:before="0" w:line="276" w:lineRule="auto"/>
        <w:ind w:left="68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f) pravidelné přehledy pro Objednatele (stav bankovních účtů a fondů, saldo dlužníků, čerpání rozpočtu) v rozsahu a četnosti podle Přílohy č. 3;</w:t>
      </w:r>
    </w:p>
    <w:p>
      <w:pPr>
        <w:spacing w:after="80" w:before="0" w:line="276" w:lineRule="auto"/>
        <w:ind w:left="68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g) součinnost při daňových a jiných kontrolách a při auditu účetní závěrky, je-li prováděn.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3.2  </w:t>
      </w:r>
      <w:r>
        <w:rPr>
          <w:rFonts w:ascii="Times New Roman" w:hAnsi="Times New Roman" w:eastAsia="Times New Roman"/>
          <w:b w:val="0"/>
          <w:i w:val="0"/>
          <w:sz w:val="22"/>
        </w:rPr>
        <w:t>Činnosti nad rámec odst. 3.1 (např. obnova zanedbaného účetnictví, mimořádné účetní závěrky, opravy účetnictví vedeného dříve jinou osobou) poskytne Zhotovitel na základě písemné objednávky Objednatele (postačí e-mail) za hodinovou sazbu podle Přílohy č. 1.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3.3  </w:t>
      </w:r>
      <w:r>
        <w:rPr>
          <w:rFonts w:ascii="Times New Roman" w:hAnsi="Times New Roman" w:eastAsia="Times New Roman"/>
          <w:b w:val="0"/>
          <w:i w:val="0"/>
          <w:sz w:val="22"/>
        </w:rPr>
        <w:t>Zastupování SVJ vůči správci daně a dalším orgánům veřejné moci vykonává Zhotovitel na základě plné moci udělené přímo příslušným SVJ. Objednatel zajistí její udělení.</w:t>
      </w:r>
    </w:p>
    <w:p>
      <w:pPr>
        <w:spacing w:before="360" w:after="200"/>
      </w:pPr>
      <w:r>
        <w:rPr>
          <w:rFonts w:ascii="Times New Roman" w:hAnsi="Times New Roman" w:eastAsia="Times New Roman"/>
          <w:b/>
          <w:i w:val="0"/>
          <w:sz w:val="28"/>
        </w:rPr>
        <w:t>Článek 4 – Postavení Zhotovitele a způsob plnění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4.1  </w:t>
      </w:r>
      <w:r>
        <w:rPr>
          <w:rFonts w:ascii="Times New Roman" w:hAnsi="Times New Roman" w:eastAsia="Times New Roman"/>
          <w:b w:val="0"/>
          <w:i w:val="0"/>
          <w:sz w:val="22"/>
        </w:rPr>
        <w:t>Zhotovitel poskytuje Účetní služby vlastním jménem, samostatně a na vlastní odpovědnost jako podnikatel. Volba odborných účetních postupů a metod je věcí Zhotovitele; Objednatel mu neudílí pokyny, které by se týkaly odborného účetního postupu. Tato smlouva nezakládá pracovněprávní vztah.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4.2  </w:t>
      </w:r>
      <w:r>
        <w:rPr>
          <w:rFonts w:ascii="Times New Roman" w:hAnsi="Times New Roman" w:eastAsia="Times New Roman"/>
          <w:b w:val="0"/>
          <w:i w:val="0"/>
          <w:sz w:val="22"/>
        </w:rPr>
        <w:t>Zhotovitel plní osobně, případně prostřednictvím svých zaměstnanců. Další subdodavatele smí zapojit jen s předchozím písemným souhlasem Objednatele; tím není dotčen čl. 10 a Příloha č. 2.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4.3  </w:t>
      </w:r>
      <w:r>
        <w:rPr>
          <w:rFonts w:ascii="Times New Roman" w:hAnsi="Times New Roman" w:eastAsia="Times New Roman"/>
          <w:b w:val="0"/>
          <w:i w:val="0"/>
          <w:sz w:val="22"/>
        </w:rPr>
        <w:t>Zhotovitel komunikuje se SVJ zpravidla prostřednictvím Objednatele. Přímá komunikace s výborem SVJ je přípustná v rozsahu nezbytném pro plnění (zejména dotazy k dokladům), přičemž Zhotovitel o ní Objednatele vhodně informuje.</w:t>
      </w:r>
    </w:p>
    <w:p>
      <w:pPr>
        <w:spacing w:before="360" w:after="200"/>
      </w:pPr>
      <w:r>
        <w:rPr>
          <w:rFonts w:ascii="Times New Roman" w:hAnsi="Times New Roman" w:eastAsia="Times New Roman"/>
          <w:b/>
          <w:i w:val="0"/>
          <w:sz w:val="28"/>
        </w:rPr>
        <w:t>Článek 5 – Ujednání ve prospěch SVJ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5.1  </w:t>
      </w:r>
      <w:r>
        <w:rPr>
          <w:rFonts w:ascii="Times New Roman" w:hAnsi="Times New Roman" w:eastAsia="Times New Roman"/>
          <w:b w:val="0"/>
          <w:i w:val="0"/>
          <w:sz w:val="22"/>
        </w:rPr>
        <w:t>Smluvní strany ujednávají, že Zhotovitel plní Účetní služby též ve prospěch příslušného SVJ ve smyslu § 1767 OZ. Každé SVJ je oprávněno požadovat přímo po Zhotoviteli řádné plnění Účetních služeb, které se jej týkají, a náhradu škody způsobené porušením povinností Zhotovitele. Tím nejsou dotčena práva Objednatele.</w:t>
      </w:r>
    </w:p>
    <w:p>
      <w:pPr>
        <w:spacing w:before="360" w:after="200"/>
      </w:pPr>
      <w:r>
        <w:rPr>
          <w:rFonts w:ascii="Times New Roman" w:hAnsi="Times New Roman" w:eastAsia="Times New Roman"/>
          <w:b/>
          <w:i w:val="0"/>
          <w:sz w:val="28"/>
        </w:rPr>
        <w:t>Článek 6 – Předávání podkladů a lhůty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6.1  </w:t>
      </w:r>
      <w:r>
        <w:rPr>
          <w:rFonts w:ascii="Times New Roman" w:hAnsi="Times New Roman" w:eastAsia="Times New Roman"/>
          <w:b w:val="0"/>
          <w:i w:val="0"/>
          <w:sz w:val="22"/>
        </w:rPr>
        <w:t>Objednatel předává Zhotoviteli Podklady za kalendářní měsíc nejpozději do 10. dne následujícího měsíce, a to elektronicky prostřednictvím [doplnit – sdílené úložiště / účetní software / e-mail]. Bankovní výpisy mohou být Zhotoviteli zpřístupněny i formou pasivního (pouze pro čtení) přístupu k účtu SVJ, schválí-li to výbor SVJ.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6.2  </w:t>
      </w:r>
      <w:r>
        <w:rPr>
          <w:rFonts w:ascii="Times New Roman" w:hAnsi="Times New Roman" w:eastAsia="Times New Roman"/>
          <w:b w:val="0"/>
          <w:i w:val="0"/>
          <w:sz w:val="22"/>
        </w:rPr>
        <w:t>Zhotovitel zkontroluje úplnost Podkladů a na chybějící nebo nejasné Podklady Objednatele upozorní nejpozději do 5 pracovních dnů od jejich obdržení.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6.3  </w:t>
      </w:r>
      <w:r>
        <w:rPr>
          <w:rFonts w:ascii="Times New Roman" w:hAnsi="Times New Roman" w:eastAsia="Times New Roman"/>
          <w:b w:val="0"/>
          <w:i w:val="0"/>
          <w:sz w:val="22"/>
        </w:rPr>
        <w:t>Zhotovitel zaúčtuje účetní případy daného měsíce nejpozději do [doplnit – např. 25.] dne měsíce, v němž obdržel úplné Podklady (tj. zpravidla měsíce následujícího po účtovaném měsíci).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6.4  </w:t>
      </w:r>
      <w:r>
        <w:rPr>
          <w:rFonts w:ascii="Times New Roman" w:hAnsi="Times New Roman" w:eastAsia="Times New Roman"/>
          <w:b w:val="0"/>
          <w:i w:val="0"/>
          <w:sz w:val="22"/>
        </w:rPr>
        <w:t>Pro roční agendu platí harmonogram v Příloze č. 3, zejména: podklady k inventarizaci a závěrce předá Objednatel do 31. ledna; Zhotovitel sestaví účetní závěrku do [doplnit – doporučeno 31. března]; daňová přiznání zpracuje a předá k podpisu nejpozději 10 pracovních dnů před uplynutím lhůty pro jejich podání podle § 136 zákona č. 280/2009 Sb., daňový řád; podklady pro vyúčtování služeb předá do [doplnit – např. 28. února], aby mohlo být vyúčtování doručeno vlastníkům ve lhůtě 4 měsíců od skončení zúčtovacího období (§ 7 odst. 1 zákona č. 67/2013 Sb.). Mzdovou agendu zpracovává Zhotovitel v termínech stanovených příslušnými předpisy.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6.5  </w:t>
      </w:r>
      <w:r>
        <w:rPr>
          <w:rFonts w:ascii="Times New Roman" w:hAnsi="Times New Roman" w:eastAsia="Times New Roman"/>
          <w:b w:val="0"/>
          <w:i w:val="0"/>
          <w:sz w:val="22"/>
        </w:rPr>
        <w:t>Originály listinných účetních dokladů zůstávají u SVJ nebo Objednatele, nedohodnou-li se strany jinak. Převzaté originály Zhotovitel eviduje a vrací nejpozději při roční uzávěrce.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6.6  </w:t>
      </w:r>
      <w:r>
        <w:rPr>
          <w:rFonts w:ascii="Times New Roman" w:hAnsi="Times New Roman" w:eastAsia="Times New Roman"/>
          <w:b w:val="0"/>
          <w:i w:val="0"/>
          <w:sz w:val="22"/>
        </w:rPr>
        <w:t>Zhotovitel neodpovídá za prodlení a vady způsobené tím, že Podklady nebyly předány včas nebo byly nesprávné, pokud na tuto skutečnost Objednatele bez zbytečného odkladu písemně upozornil.</w:t>
      </w:r>
    </w:p>
    <w:p>
      <w:pPr>
        <w:spacing w:before="360" w:after="200"/>
      </w:pPr>
      <w:r>
        <w:rPr>
          <w:rFonts w:ascii="Times New Roman" w:hAnsi="Times New Roman" w:eastAsia="Times New Roman"/>
          <w:b/>
          <w:i w:val="0"/>
          <w:sz w:val="28"/>
        </w:rPr>
        <w:t>Článek 7 – Odměna a platební podmínky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7.1  </w:t>
      </w:r>
      <w:r>
        <w:rPr>
          <w:rFonts w:ascii="Times New Roman" w:hAnsi="Times New Roman" w:eastAsia="Times New Roman"/>
          <w:b w:val="0"/>
          <w:i w:val="0"/>
          <w:sz w:val="22"/>
        </w:rPr>
        <w:t>Za Účetní služby náleží Zhotoviteli měsíční odměna za každé SVJ ve výši uvedené v Příloze č. 1. Není-li v Příloze č. 1 uvedeno jinak, zahrnuje měsíční odměna roční účetní závěrku a daňové přiznání k dani z příjmů právnických osob; mzdová agenda se účtuje za každou osobu a měsíc podle Přílohy č. 1.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7.2  </w:t>
      </w:r>
      <w:r>
        <w:rPr>
          <w:rFonts w:ascii="Times New Roman" w:hAnsi="Times New Roman" w:eastAsia="Times New Roman"/>
          <w:b w:val="0"/>
          <w:i w:val="0"/>
          <w:sz w:val="22"/>
        </w:rPr>
        <w:t>Odměna se hradí měsíčně zpětně na základě faktury vystavené Zhotovitelem do 10. dne následujícího měsíce, s rozpisem podle jednotlivých SVJ. Splatnost faktury je [doplnit – např. 14] dnů od doručení. K odměně bude připočtena DPH, je-li Zhotovitel jejím plátcem.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7.3  </w:t>
      </w:r>
      <w:r>
        <w:rPr>
          <w:rFonts w:ascii="Times New Roman" w:hAnsi="Times New Roman" w:eastAsia="Times New Roman"/>
          <w:b w:val="0"/>
          <w:i w:val="0"/>
          <w:sz w:val="22"/>
        </w:rPr>
        <w:t>Změny seznamu SVJ (přibývající i odcházející SVJ) a odměny za nová SVJ sjednávají strany písemně aktualizací Přílohy č. 1; za písemnou formu se považuje i výměna e-mailů s potvrzením obou stran. Za neúplný měsíc náleží poměrná část odměny.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7.4  </w:t>
      </w:r>
      <w:r>
        <w:rPr>
          <w:rFonts w:ascii="Times New Roman" w:hAnsi="Times New Roman" w:eastAsia="Times New Roman"/>
          <w:b w:val="0"/>
          <w:i w:val="0"/>
          <w:sz w:val="22"/>
        </w:rPr>
        <w:t>Odměna sjednaná v Příloze č. 1 je pevná po dobu prvních 12 měsíců účinnosti smlouvy; poté o ní mohou strany jednat jednou ročně.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7.5  </w:t>
      </w:r>
      <w:r>
        <w:rPr>
          <w:rFonts w:ascii="Times New Roman" w:hAnsi="Times New Roman" w:eastAsia="Times New Roman"/>
          <w:b w:val="0"/>
          <w:i w:val="0"/>
          <w:sz w:val="22"/>
        </w:rPr>
        <w:t>Zhotovitel nemá vůči SVJ samostatný nárok na odměnu za Účetní služby podle této smlouvy.</w:t>
      </w:r>
    </w:p>
    <w:p>
      <w:pPr>
        <w:spacing w:before="360" w:after="200"/>
      </w:pPr>
      <w:r>
        <w:rPr>
          <w:rFonts w:ascii="Times New Roman" w:hAnsi="Times New Roman" w:eastAsia="Times New Roman"/>
          <w:b/>
          <w:i w:val="0"/>
          <w:sz w:val="28"/>
        </w:rPr>
        <w:t>Článek 8 – Pojištění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8.1  </w:t>
      </w:r>
      <w:r>
        <w:rPr>
          <w:rFonts w:ascii="Times New Roman" w:hAnsi="Times New Roman" w:eastAsia="Times New Roman"/>
          <w:b w:val="0"/>
          <w:i w:val="0"/>
          <w:sz w:val="22"/>
        </w:rPr>
        <w:t>Zhotovitel se zavazuje být po celou dobu trvání této smlouvy a dále nejméně [doplnit – např. 3 roky] po jejím skončení pojištěn pro případ odpovědnosti za škodu způsobenou výkonem své činnosti (pojištění profesní odpovědnosti) s limitem pojistného plnění nejméně [doplnit] Kč na jednu pojistnou událost a s ročním limitem nejméně [doplnit] Kč.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8.2  </w:t>
      </w:r>
      <w:r>
        <w:rPr>
          <w:rFonts w:ascii="Times New Roman" w:hAnsi="Times New Roman" w:eastAsia="Times New Roman"/>
          <w:b w:val="0"/>
          <w:i w:val="0"/>
          <w:sz w:val="22"/>
        </w:rPr>
        <w:t>Zhotovitel předloží Objednateli doklad o pojištění při podpisu smlouvy a dále každoročně a vždy na požádání. Zánik, omezení nebo snížení limitu pojištění oznámí Objednateli bez zbytečného odkladu.</w:t>
      </w:r>
    </w:p>
    <w:p>
      <w:pPr>
        <w:spacing w:before="360" w:after="200"/>
      </w:pPr>
      <w:r>
        <w:rPr>
          <w:rFonts w:ascii="Times New Roman" w:hAnsi="Times New Roman" w:eastAsia="Times New Roman"/>
          <w:b/>
          <w:i w:val="0"/>
          <w:sz w:val="28"/>
        </w:rPr>
        <w:t>Článek 9 – Mlčenlivost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9.1  </w:t>
      </w:r>
      <w:r>
        <w:rPr>
          <w:rFonts w:ascii="Times New Roman" w:hAnsi="Times New Roman" w:eastAsia="Times New Roman"/>
          <w:b w:val="0"/>
          <w:i w:val="0"/>
          <w:sz w:val="22"/>
        </w:rPr>
        <w:t>Zhotovitel je povinen zachovávat mlčenlivost o všech skutečnostech, které se dozvěděl v souvislosti s plněním této smlouvy, zejména o hospodaření SVJ, osobních údajích vlastníků a o obchodních podmínkách Objednatele (včetně cen a seznamu klientů). Povinnost trvá i po skončení smlouvy.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9.2  </w:t>
      </w:r>
      <w:r>
        <w:rPr>
          <w:rFonts w:ascii="Times New Roman" w:hAnsi="Times New Roman" w:eastAsia="Times New Roman"/>
          <w:b w:val="0"/>
          <w:i w:val="0"/>
          <w:sz w:val="22"/>
        </w:rPr>
        <w:t>Povinnost mlčenlivosti se nevztahuje na informace veřejně dostupné a na případy, kdy povinnost zpřístupnění stanoví zákon nebo ji uloží orgán veřejné moci. Zhotovitel zaváže mlčenlivostí i své zaměstnance a další osoby, které se na plnění podílejí.</w:t>
      </w:r>
    </w:p>
    <w:p>
      <w:pPr>
        <w:spacing w:before="360" w:after="200"/>
      </w:pPr>
      <w:r>
        <w:rPr>
          <w:rFonts w:ascii="Times New Roman" w:hAnsi="Times New Roman" w:eastAsia="Times New Roman"/>
          <w:b/>
          <w:i w:val="0"/>
          <w:sz w:val="28"/>
        </w:rPr>
        <w:t>Článek 10 – Ochrana osobních údajů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10.1  </w:t>
      </w:r>
      <w:r>
        <w:rPr>
          <w:rFonts w:ascii="Times New Roman" w:hAnsi="Times New Roman" w:eastAsia="Times New Roman"/>
          <w:b w:val="0"/>
          <w:i w:val="0"/>
          <w:sz w:val="22"/>
        </w:rPr>
        <w:t>Při poskytování Účetních služeb zpracovává Zhotovitel osobní údaje, jejichž správcem je příslušné SVJ. Objednatel je vůči SVJ zpracovatelem podle čl. 28 GDPR a Zhotovitel je dalším zpracovatelem (podzpracovatelem) ve smyslu čl. 28 odst. 2 a 4 GDPR.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10.2  </w:t>
      </w:r>
      <w:r>
        <w:rPr>
          <w:rFonts w:ascii="Times New Roman" w:hAnsi="Times New Roman" w:eastAsia="Times New Roman"/>
          <w:b w:val="0"/>
          <w:i w:val="0"/>
          <w:sz w:val="22"/>
        </w:rPr>
        <w:t>Podmínky zpracování osobních údajů upravuje Příloha č. 2 (Smlouva o zpracování osobních údajů), která tvoří nedílnou součást této smlouvy. V případě rozporu má Příloha č. 2 přednost.</w:t>
      </w:r>
    </w:p>
    <w:p>
      <w:pPr>
        <w:spacing w:before="360" w:after="200"/>
      </w:pPr>
      <w:r>
        <w:rPr>
          <w:rFonts w:ascii="Times New Roman" w:hAnsi="Times New Roman" w:eastAsia="Times New Roman"/>
          <w:b/>
          <w:i w:val="0"/>
          <w:sz w:val="28"/>
        </w:rPr>
        <w:t>Článek 11 – Odpovědnost za škodu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11.1  </w:t>
      </w:r>
      <w:r>
        <w:rPr>
          <w:rFonts w:ascii="Times New Roman" w:hAnsi="Times New Roman" w:eastAsia="Times New Roman"/>
          <w:b w:val="0"/>
          <w:i w:val="0"/>
          <w:sz w:val="22"/>
        </w:rPr>
        <w:t>Zhotovitel odpovídá Objednateli a SVJ za škodu způsobenou porušením povinností z této smlouvy nebo z právních předpisů podle § 2913 OZ.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11.2  </w:t>
      </w:r>
      <w:r>
        <w:rPr>
          <w:rFonts w:ascii="Times New Roman" w:hAnsi="Times New Roman" w:eastAsia="Times New Roman"/>
          <w:b w:val="0"/>
          <w:i w:val="0"/>
          <w:sz w:val="22"/>
        </w:rPr>
        <w:t>Zhotovitel se zavazuje nahradit Objednateli nebo SVJ zejména pokuty, penále, úroky z prodlení, příslušenství daně a jiné sankce uložené SVJ nebo Objednateli orgánem veřejné moci (zejména správcem daně, orgánem sociálního zabezpečení, zdravotní pojišťovnou nebo rejstříkovým soudem), pokud byly způsobeny chybou, opomenutím nebo prodlením Zhotovitele, a dále účelně vynaložené náklady na nápravu. Uhradí-li takovou škodu SVJ Objednatel, je Zhotovitel povinen ji nahradit Objednateli do 30 dnů od výzvy.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11.3  </w:t>
      </w:r>
      <w:r>
        <w:rPr>
          <w:rFonts w:ascii="Times New Roman" w:hAnsi="Times New Roman" w:eastAsia="Times New Roman"/>
          <w:b w:val="0"/>
          <w:i w:val="0"/>
          <w:sz w:val="22"/>
        </w:rPr>
        <w:t>Zjištěné chyby ve svém plnění opraví Zhotovitel bezplatně a bez zbytečného odkladu, včetně zpracování opravných či dodatečných daňových přiznání a hlášení.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11.4  </w:t>
      </w:r>
      <w:r>
        <w:rPr>
          <w:rFonts w:ascii="Times New Roman" w:hAnsi="Times New Roman" w:eastAsia="Times New Roman"/>
          <w:b w:val="0"/>
          <w:i w:val="0"/>
          <w:sz w:val="22"/>
        </w:rPr>
        <w:t>Zhotovitel neodpovídá za škodu způsobenou nesprávnými, neúplnými nebo opožděnými Podklady podle odst. 6.6 ani za škodu způsobenou mimořádnou nepředvídatelnou a nepřekonatelnou překážkou (§ 2913 odst. 2 OZ).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11.5  </w:t>
      </w:r>
      <w:r>
        <w:rPr>
          <w:rFonts w:ascii="Times New Roman" w:hAnsi="Times New Roman" w:eastAsia="Times New Roman"/>
          <w:b w:val="0"/>
          <w:i w:val="0"/>
          <w:sz w:val="22"/>
        </w:rPr>
        <w:t>Smluvní strany odpovědnost Zhotovitele neomezují. [Volitelně: Celková odpovědnost Zhotovitele za škodu je omezena částkou [doplnit] Kč; omezení se nevztahuje na škodu způsobenou úmyslně nebo z hrubé nedbalosti (§ 2898 OZ) ani na sankce podle odst. 11.2.]</w:t>
      </w:r>
    </w:p>
    <w:p>
      <w:pPr>
        <w:spacing w:before="360" w:after="200"/>
      </w:pPr>
      <w:r>
        <w:rPr>
          <w:rFonts w:ascii="Times New Roman" w:hAnsi="Times New Roman" w:eastAsia="Times New Roman"/>
          <w:b/>
          <w:i w:val="0"/>
          <w:sz w:val="28"/>
        </w:rPr>
        <w:t>Článek 12 – Zákaz přetahování klientů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12.1  </w:t>
      </w:r>
      <w:r>
        <w:rPr>
          <w:rFonts w:ascii="Times New Roman" w:hAnsi="Times New Roman" w:eastAsia="Times New Roman"/>
          <w:b w:val="0"/>
          <w:i w:val="0"/>
          <w:sz w:val="22"/>
        </w:rPr>
        <w:t>Zhotovitel se zavazuje, že po dobu trvání této smlouvy a 12 měsíců po jejím skončení nebude sám ani prostřednictvím třetí osoby přímo či nepřímo nabízet ani poskytovat SVJ, které jsou nebo během posledních 12 měsíců trvání této smlouvy byly uvedeny v Příloze č. 1, účetní služby, služby správy nebo obdobné služby mimo tuto smlouvu, ani je nepřiměje k ukončení či omezení Smlouvy o správě s Objednatelem.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12.2  </w:t>
      </w:r>
      <w:r>
        <w:rPr>
          <w:rFonts w:ascii="Times New Roman" w:hAnsi="Times New Roman" w:eastAsia="Times New Roman"/>
          <w:b w:val="0"/>
          <w:i w:val="0"/>
          <w:sz w:val="22"/>
        </w:rPr>
        <w:t>Odst. 12.1 se nepoužije, udělí-li Objednatel předem písemný souhlas. Objednatel souhlas bez vážného důvodu neodepře, pokud SVJ ukončilo Smlouvu o správě s Objednatelem z důvodů na straně Objednatele a Zhotovitel uhradí Objednateli kompenzaci ve výši [doplnit – např. 6násobku] měsíční odměny za dotčené SVJ podle Přílohy č. 1.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12.3  </w:t>
      </w:r>
      <w:r>
        <w:rPr>
          <w:rFonts w:ascii="Times New Roman" w:hAnsi="Times New Roman" w:eastAsia="Times New Roman"/>
          <w:b w:val="0"/>
          <w:i w:val="0"/>
          <w:sz w:val="22"/>
        </w:rPr>
        <w:t>Poruší-li Zhotovitel povinnost podle odst. 12.1, zaplatí Objednateli smluvní pokutu ve výši 12násobku průměrné měsíční odměny za dotčené SVJ podle Přílohy č. 1 za posledních 12 měsíců (nejméně však [doplnit] Kč), a to za každé dotčené SVJ zvlášť (§ 2048 OZ). Zaplacením smluvní pokuty není dotčeno právo na náhradu škody v rozsahu přesahujícím smluvní pokutu.</w:t>
      </w:r>
    </w:p>
    <w:p>
      <w:pPr>
        <w:spacing w:before="360" w:after="200"/>
      </w:pPr>
      <w:r>
        <w:rPr>
          <w:rFonts w:ascii="Times New Roman" w:hAnsi="Times New Roman" w:eastAsia="Times New Roman"/>
          <w:b/>
          <w:i w:val="0"/>
          <w:sz w:val="28"/>
        </w:rPr>
        <w:t>Článek 13 – Doba trvání a ukončení smlouvy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13.1  </w:t>
      </w:r>
      <w:r>
        <w:rPr>
          <w:rFonts w:ascii="Times New Roman" w:hAnsi="Times New Roman" w:eastAsia="Times New Roman"/>
          <w:b w:val="0"/>
          <w:i w:val="0"/>
          <w:sz w:val="22"/>
        </w:rPr>
        <w:t>Tato smlouva se uzavírá na dobu neurčitou a nabývá účinnosti dnem jejího podpisu oběma smluvními stranami, není-li dále uvedeno jinak: [doplnit datum účinnosti].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13.2  </w:t>
      </w:r>
      <w:r>
        <w:rPr>
          <w:rFonts w:ascii="Times New Roman" w:hAnsi="Times New Roman" w:eastAsia="Times New Roman"/>
          <w:b w:val="0"/>
          <w:i w:val="0"/>
          <w:sz w:val="22"/>
        </w:rPr>
        <w:t>Každá smluvní strana může smlouvu vypovědět bez uvedení důvodu s výpovědní dobou 3 měsíce, která počíná běžet prvním dnem měsíce následujícího po doručení výpovědi. Vypoví-li smlouvu Zhotovitel v období od 1. října do 31. března, skončí výpovědní doba nejdříve dnem, kdy Zhotovitel předá účetní závěrku a daňové přiznání za účetní období, které skončilo před uplynutím výpovědní doby.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13.3  </w:t>
      </w:r>
      <w:r>
        <w:rPr>
          <w:rFonts w:ascii="Times New Roman" w:hAnsi="Times New Roman" w:eastAsia="Times New Roman"/>
          <w:b w:val="0"/>
          <w:i w:val="0"/>
          <w:sz w:val="22"/>
        </w:rPr>
        <w:t>Objednatel je oprávněn vypovědět smlouvu ve vztahu k jednotlivému SVJ s výpovědní dobou 1 měsíc; zanikne-li Smlouva o správě s daným SVJ, končí poskytování Účetních služeb pro toto SVJ ke dni jejího zániku, oznámí-li to Objednatel Zhotoviteli písemně alespoň 15 dnů předem.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13.4  </w:t>
      </w:r>
      <w:r>
        <w:rPr>
          <w:rFonts w:ascii="Times New Roman" w:hAnsi="Times New Roman" w:eastAsia="Times New Roman"/>
          <w:b w:val="0"/>
          <w:i w:val="0"/>
          <w:sz w:val="22"/>
        </w:rPr>
        <w:t>Objednatel může od smlouvy odstoupit s účinky ke dni doručení odstoupení (§ 2001 OZ), jestliže Zhotovitel pozbude živnostenské oprávnění nebo pojištění podle čl. 8, závažně poruší povinnosti podle čl. 9 nebo 10, opakovaně (alespoň dvakrát v průběhu 12 měsíců) nedodrží lhůty podle čl. 6 ani v dodatečné lhůtě, nebo je-li vůči Zhotoviteli vydáno rozhodnutí o úpadku. Zhotovitel může od smlouvy odstoupit, je-li Objednatel v prodlení s úhradou odměny déle než 30 dnů ani po písemné výzvě.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13.5  </w:t>
      </w:r>
      <w:r>
        <w:rPr>
          <w:rFonts w:ascii="Times New Roman" w:hAnsi="Times New Roman" w:eastAsia="Times New Roman"/>
          <w:b w:val="0"/>
          <w:i w:val="0"/>
          <w:sz w:val="22"/>
        </w:rPr>
        <w:t>Ukončením smlouvy nezanikají ujednání o mlčenlivosti, ochraně osobních údajů, odpovědnosti za škodu, zákazu přetahování klientů, smluvní pokutě a předání Účetních záznamů.</w:t>
      </w:r>
    </w:p>
    <w:p>
      <w:pPr>
        <w:spacing w:before="360" w:after="200"/>
      </w:pPr>
      <w:r>
        <w:rPr>
          <w:rFonts w:ascii="Times New Roman" w:hAnsi="Times New Roman" w:eastAsia="Times New Roman"/>
          <w:b/>
          <w:i w:val="0"/>
          <w:sz w:val="28"/>
        </w:rPr>
        <w:t>Článek 14 – Předání při ukončení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14.1  </w:t>
      </w:r>
      <w:r>
        <w:rPr>
          <w:rFonts w:ascii="Times New Roman" w:hAnsi="Times New Roman" w:eastAsia="Times New Roman"/>
          <w:b w:val="0"/>
          <w:i w:val="0"/>
          <w:sz w:val="22"/>
        </w:rPr>
        <w:t>Při skončení smlouvy (i ve vztahu k jednotlivému SVJ) předá Zhotovitel bez zbytečného odkladu, nejpozději ke dni skončení smlouvy, a nelze-li to, do 15 dnů poté, Objednateli nebo osobě, kterou Objednatel nebo SVJ písemně určí, veškeré Účetní záznamy a Podklady v listinné i elektronické podobě, zejména: účetní knihy, účtový rozvrh, inventurní soupisy, účetní závěrky, daňová přiznání a doklady o jejich podání, mzdové listy a další mzdovou dokumentaci, export dat z účetního software ve strojově čitelném formátu (např. XML/CSV a PDF sestavy), saldokonto, přehled rozpracovaných případů a běžících lhůt a přístupové údaje k systémům zřízeným pro SVJ.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14.2  </w:t>
      </w:r>
      <w:r>
        <w:rPr>
          <w:rFonts w:ascii="Times New Roman" w:hAnsi="Times New Roman" w:eastAsia="Times New Roman"/>
          <w:b w:val="0"/>
          <w:i w:val="0"/>
          <w:sz w:val="22"/>
        </w:rPr>
        <w:t>O předání se sepíše předávací protokol. Zhotovitel poskytne nové účetní přiměřenou součinnost po dobu 3 měsíců od předání; součinnost nad 2 hodiny se hradí hodinovou sazbou podle Přílohy č. 1.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14.3  </w:t>
      </w:r>
      <w:r>
        <w:rPr>
          <w:rFonts w:ascii="Times New Roman" w:hAnsi="Times New Roman" w:eastAsia="Times New Roman"/>
          <w:b w:val="0"/>
          <w:i w:val="0"/>
          <w:sz w:val="22"/>
        </w:rPr>
        <w:t>Účetní záznamy náleží příslušnému SVJ. Zhotovitel není oprávněn k nim vykonávat zadržovací právo (§ 1395 a násl. OZ) ani podmiňovat jejich předání úhradou jakékoli pohledávky.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14.4  </w:t>
      </w:r>
      <w:r>
        <w:rPr>
          <w:rFonts w:ascii="Times New Roman" w:hAnsi="Times New Roman" w:eastAsia="Times New Roman"/>
          <w:b w:val="0"/>
          <w:i w:val="0"/>
          <w:sz w:val="22"/>
        </w:rPr>
        <w:t>Úschovu Účetních záznamů po dobu stanovenou § 31 a 32 ZÚ zajišťuje SVJ jako účetní jednotka. Po dobu trvání smlouvy Zhotovitel uchovává Účetní záznamy, které má u sebe, v souladu s § 31 a 32 ZÚ a po předání je vymaže podle Přílohy č. 2.</w:t>
      </w:r>
    </w:p>
    <w:p>
      <w:pPr>
        <w:spacing w:before="360" w:after="200"/>
      </w:pPr>
      <w:r>
        <w:rPr>
          <w:rFonts w:ascii="Times New Roman" w:hAnsi="Times New Roman" w:eastAsia="Times New Roman"/>
          <w:b/>
          <w:i w:val="0"/>
          <w:sz w:val="28"/>
        </w:rPr>
        <w:t>Článek 15 – Kontaktní osoby a doručování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15.1  Kontaktní osobou Objednatele je [Správce] ([doplnit – e-mail a telefon]). Kontaktní osobou Zhotovitele je [doplnit]. Změnu kontaktních údajů si strany oznámí e-mailem.</w:t>
      </w:r>
      <w:r>
        <w:rPr>
          <w:rFonts w:ascii="Times New Roman" w:hAnsi="Times New Roman" w:eastAsia="Times New Roman"/>
          <w:b w:val="0"/>
          <w:i w:val="0"/>
          <w:sz w:val="22"/>
        </w:rPr>
        <w:t/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15.2  </w:t>
      </w:r>
      <w:r>
        <w:rPr>
          <w:rFonts w:ascii="Times New Roman" w:hAnsi="Times New Roman" w:eastAsia="Times New Roman"/>
          <w:b w:val="0"/>
          <w:i w:val="0"/>
          <w:sz w:val="22"/>
        </w:rPr>
        <w:t>Běžná komunikace probíhá e-mailem. Výpověď, odstoupení a výzvy k náhradě škody se doručují doporučeným dopisem nebo datovou schránkou.</w:t>
      </w:r>
    </w:p>
    <w:p>
      <w:pPr>
        <w:spacing w:before="360" w:after="200"/>
      </w:pPr>
      <w:r>
        <w:rPr>
          <w:rFonts w:ascii="Times New Roman" w:hAnsi="Times New Roman" w:eastAsia="Times New Roman"/>
          <w:b/>
          <w:i w:val="0"/>
          <w:sz w:val="28"/>
        </w:rPr>
        <w:t>Článek 16 – Závěrečná ustanovení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16.1  </w:t>
      </w:r>
      <w:r>
        <w:rPr>
          <w:rFonts w:ascii="Times New Roman" w:hAnsi="Times New Roman" w:eastAsia="Times New Roman"/>
          <w:b w:val="0"/>
          <w:i w:val="0"/>
          <w:sz w:val="22"/>
        </w:rPr>
        <w:t>Tato smlouva se řídí právním řádem České republiky, zejména občanským zákoníkem.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16.2  </w:t>
      </w:r>
      <w:r>
        <w:rPr>
          <w:rFonts w:ascii="Times New Roman" w:hAnsi="Times New Roman" w:eastAsia="Times New Roman"/>
          <w:b w:val="0"/>
          <w:i w:val="0"/>
          <w:sz w:val="22"/>
        </w:rPr>
        <w:t>Zhotovitel na sebe přebírá nebezpečí změny okolností ve smyslu § 1765 odst. 2 OZ. Strany vylučují použití § 1740 odst. 3 OZ (přijetí nabídky s dodatkem nebo odchylkou).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16.3  </w:t>
      </w:r>
      <w:r>
        <w:rPr>
          <w:rFonts w:ascii="Times New Roman" w:hAnsi="Times New Roman" w:eastAsia="Times New Roman"/>
          <w:b w:val="0"/>
          <w:i w:val="0"/>
          <w:sz w:val="22"/>
        </w:rPr>
        <w:t>Změny smlouvy lze činit pouze písemně; to neplatí pro aktualizaci Přílohy č. 1 podle odst. 7.3.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16.4  </w:t>
      </w:r>
      <w:r>
        <w:rPr>
          <w:rFonts w:ascii="Times New Roman" w:hAnsi="Times New Roman" w:eastAsia="Times New Roman"/>
          <w:b w:val="0"/>
          <w:i w:val="0"/>
          <w:sz w:val="22"/>
        </w:rPr>
        <w:t>Je-li některé ustanovení neplatné nebo neúčinné, ostatní ustanovení tím nejsou dotčena; strany je nahradí ustanovením s obdobným účelem.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16.5  </w:t>
      </w:r>
      <w:r>
        <w:rPr>
          <w:rFonts w:ascii="Times New Roman" w:hAnsi="Times New Roman" w:eastAsia="Times New Roman"/>
          <w:b w:val="0"/>
          <w:i w:val="0"/>
          <w:sz w:val="22"/>
        </w:rPr>
        <w:t>Nedílnou součástí smlouvy jsou: Příloha č. 1 – Seznam SVJ a odměna; Příloha č. 2 – Smlouva o zpracování osobních údajů (včetně technických a organizačních opatření); Příloha č. 3 – Harmonogram lhůt a reportingu.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16.6  </w:t>
      </w:r>
      <w:r>
        <w:rPr>
          <w:rFonts w:ascii="Times New Roman" w:hAnsi="Times New Roman" w:eastAsia="Times New Roman"/>
          <w:b w:val="0"/>
          <w:i w:val="0"/>
          <w:sz w:val="22"/>
        </w:rPr>
        <w:t>Smlouva se vyhotovuje ve dvou stejnopisech nebo elektronicky s elektronickými podpisy. Strany prohlašují, že smlouvu uzavírají svobodně a vážně a že si ji přečetly.</w:t>
      </w:r>
    </w:p>
    <w:p>
      <w:pPr>
        <w:spacing w:before="360" w:after="200"/>
      </w:pPr>
      <w:r>
        <w:rPr>
          <w:rFonts w:ascii="Times New Roman" w:hAnsi="Times New Roman" w:eastAsia="Times New Roman"/>
          <w:b/>
          <w:i w:val="0"/>
          <w:sz w:val="28"/>
        </w:rPr>
        <w:t>Podpisy smluvních stran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Za objednatele:</w:t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V ______________ dne ____________</w:t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_______________________________</w:t>
            </w:r>
          </w:p>
          <w:p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[Správce]</w:t>
            </w:r>
          </w:p>
        </w:tc>
        <w:tc>
          <w:tcPr>
            <w:tcW w:type="dxa" w:w="4677"/>
          </w:tcPr>
          <w:p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Za zhotovitele:</w:t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V ______________ dne ____________</w:t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_______________________________</w:t>
            </w:r>
          </w:p>
          <w:p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[doplnit – jméno, funkce]</w:t>
            </w:r>
          </w:p>
          <w:p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[doplnit – obchodní firma]</w:t>
            </w:r>
          </w:p>
        </w:tc>
      </w:tr>
    </w:tbl>
    <w:p/>
    <w:p>
      <w:r>
        <w:br w:type="page"/>
      </w:r>
    </w:p>
    <w:p>
      <w:pPr>
        <w:spacing w:before="360" w:after="200"/>
      </w:pPr>
      <w:r>
        <w:rPr>
          <w:rFonts w:ascii="Times New Roman" w:hAnsi="Times New Roman" w:eastAsia="Times New Roman"/>
          <w:b/>
          <w:i w:val="0"/>
          <w:sz w:val="28"/>
        </w:rPr>
        <w:t>Příloha č. 1 – Seznam SVJ a odměna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36"/>
        <w:gridCol w:w="1336"/>
        <w:gridCol w:w="1336"/>
        <w:gridCol w:w="1336"/>
        <w:gridCol w:w="1336"/>
        <w:gridCol w:w="1336"/>
        <w:gridCol w:w="1336"/>
      </w:tblGrid>
      <w:tr>
        <w:tc>
          <w:tcPr>
            <w:tcW w:type="dxa" w:w="397"/>
            <w:shd w:fill="D9E2EC" w:val="clear"/>
          </w:tcPr>
          <w:p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#</w:t>
            </w:r>
          </w:p>
        </w:tc>
        <w:tc>
          <w:tcPr>
            <w:tcW w:type="dxa" w:w="2041"/>
            <w:shd w:fill="D9E2EC" w:val="clear"/>
          </w:tcPr>
          <w:p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SVJ (název)</w:t>
            </w:r>
          </w:p>
        </w:tc>
        <w:tc>
          <w:tcPr>
            <w:tcW w:type="dxa" w:w="1020"/>
            <w:shd w:fill="D9E2EC" w:val="clear"/>
          </w:tcPr>
          <w:p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IČO</w:t>
            </w:r>
          </w:p>
        </w:tc>
        <w:tc>
          <w:tcPr>
            <w:tcW w:type="dxa" w:w="1928"/>
            <w:shd w:fill="D9E2EC" w:val="clear"/>
          </w:tcPr>
          <w:p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Adresa domu</w:t>
            </w:r>
          </w:p>
        </w:tc>
        <w:tc>
          <w:tcPr>
            <w:tcW w:type="dxa" w:w="907"/>
            <w:shd w:fill="D9E2EC" w:val="clear"/>
          </w:tcPr>
          <w:p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Počet jednotek</w:t>
            </w:r>
          </w:p>
        </w:tc>
        <w:tc>
          <w:tcPr>
            <w:tcW w:type="dxa" w:w="1474"/>
            <w:shd w:fill="D9E2EC" w:val="clear"/>
          </w:tcPr>
          <w:p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Účetnictví vč. závěrky a DPPO (Kč/měsíc)</w:t>
            </w:r>
          </w:p>
        </w:tc>
        <w:tc>
          <w:tcPr>
            <w:tcW w:type="dxa" w:w="1020"/>
            <w:shd w:fill="D9E2EC" w:val="clear"/>
          </w:tcPr>
          <w:p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Účinnost od</w:t>
            </w:r>
          </w:p>
        </w:tc>
      </w:tr>
      <w:tr>
        <w:tc>
          <w:tcPr>
            <w:tcW w:type="dxa" w:w="397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</w:t>
            </w:r>
          </w:p>
        </w:tc>
        <w:tc>
          <w:tcPr>
            <w:tcW w:type="dxa" w:w="20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1020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1928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907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147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1020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</w:tr>
      <w:tr>
        <w:tc>
          <w:tcPr>
            <w:tcW w:type="dxa" w:w="397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</w:t>
            </w:r>
          </w:p>
        </w:tc>
        <w:tc>
          <w:tcPr>
            <w:tcW w:type="dxa" w:w="20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1020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1928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907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147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1020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</w:tr>
      <w:tr>
        <w:tc>
          <w:tcPr>
            <w:tcW w:type="dxa" w:w="397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</w:t>
            </w:r>
          </w:p>
        </w:tc>
        <w:tc>
          <w:tcPr>
            <w:tcW w:type="dxa" w:w="20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1020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1928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907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147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1020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</w:tr>
      <w:tr>
        <w:tc>
          <w:tcPr>
            <w:tcW w:type="dxa" w:w="397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</w:t>
            </w:r>
          </w:p>
        </w:tc>
        <w:tc>
          <w:tcPr>
            <w:tcW w:type="dxa" w:w="20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1020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1928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907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147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1020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</w:tr>
      <w:tr>
        <w:tc>
          <w:tcPr>
            <w:tcW w:type="dxa" w:w="397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</w:t>
            </w:r>
          </w:p>
        </w:tc>
        <w:tc>
          <w:tcPr>
            <w:tcW w:type="dxa" w:w="20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1020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1928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907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147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  <w:tc>
          <w:tcPr>
            <w:tcW w:type="dxa" w:w="1020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[doplnit]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6236"/>
            <w:shd w:fill="D9E2EC" w:val="clear"/>
          </w:tcPr>
          <w:p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Další položka</w:t>
            </w:r>
          </w:p>
        </w:tc>
        <w:tc>
          <w:tcPr>
            <w:tcW w:type="dxa" w:w="2551"/>
            <w:shd w:fill="D9E2EC" w:val="clear"/>
          </w:tcPr>
          <w:p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Cena bez DPH</w:t>
            </w:r>
          </w:p>
        </w:tc>
      </w:tr>
      <w:tr>
        <w:tc>
          <w:tcPr>
            <w:tcW w:type="dxa" w:w="6236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Mzdová agenda – za osobu (člen výboru / DPP) a měsíc</w:t>
            </w:r>
          </w:p>
        </w:tc>
        <w:tc>
          <w:tcPr>
            <w:tcW w:type="dxa" w:w="255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[doplnit] Kč</w:t>
            </w:r>
          </w:p>
        </w:tc>
      </w:tr>
      <w:tr>
        <w:tc>
          <w:tcPr>
            <w:tcW w:type="dxa" w:w="6236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Hodinová sazba za práce nad rámec (odst. 3.2, 14.2)</w:t>
            </w:r>
          </w:p>
        </w:tc>
        <w:tc>
          <w:tcPr>
            <w:tcW w:type="dxa" w:w="255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[doplnit] Kč/hod</w:t>
            </w:r>
          </w:p>
        </w:tc>
      </w:tr>
      <w:tr>
        <w:tc>
          <w:tcPr>
            <w:tcW w:type="dxa" w:w="6236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Roční závěrka a DPPO – pokud nejsou v měsíční odměně</w:t>
            </w:r>
          </w:p>
        </w:tc>
        <w:tc>
          <w:tcPr>
            <w:tcW w:type="dxa" w:w="255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[doplnit] Kč/SVJ</w:t>
            </w:r>
          </w:p>
        </w:tc>
      </w:tr>
    </w:tbl>
    <w:p/>
    <w:p>
      <w:pPr>
        <w:spacing w:after="120" w:before="0" w:line="276" w:lineRule="auto"/>
        <w:jc w:val="both"/>
      </w:pPr>
      <w:r>
        <w:rPr>
          <w:rFonts w:ascii="Times New Roman" w:hAnsi="Times New Roman" w:eastAsia="Times New Roman"/>
          <w:b w:val="0"/>
          <w:i/>
          <w:sz w:val="22"/>
        </w:rPr>
        <w:t>Aktualizace této přílohy se provádí postupem podle odst. 7.3 smlouvy.</w:t>
      </w:r>
    </w:p>
    <w:p>
      <w:r>
        <w:br w:type="page"/>
      </w:r>
    </w:p>
    <w:p>
      <w:pPr>
        <w:spacing w:before="360" w:after="200"/>
      </w:pPr>
      <w:r>
        <w:rPr>
          <w:rFonts w:ascii="Times New Roman" w:hAnsi="Times New Roman" w:eastAsia="Times New Roman"/>
          <w:b/>
          <w:i w:val="0"/>
          <w:sz w:val="28"/>
        </w:rPr>
        <w:t>Příloha č. 2 – Smlouva o zpracování osobních údajů (čl. 28 GDPR)</w:t>
      </w:r>
    </w:p>
    <w:p>
      <w:pPr>
        <w:spacing w:after="160" w:before="0" w:line="276" w:lineRule="auto"/>
        <w:jc w:val="both"/>
      </w:pPr>
      <w:r>
        <w:rPr>
          <w:rFonts w:ascii="Times New Roman" w:hAnsi="Times New Roman" w:eastAsia="Times New Roman"/>
          <w:b w:val="0"/>
          <w:i/>
          <w:sz w:val="22"/>
        </w:rPr>
        <w:t>Tato příloha upravuje zpracování osobních údajů Zhotovitelem jako dalším zpracovatelem (podzpracovatelem) pro Objednatele, který je zpracovatelem pro jednotlivá SVJ jako správce.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i w:val="0"/>
          <w:sz w:val="24"/>
        </w:rPr>
        <w:t>1. Role a předmět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1.1  </w:t>
      </w:r>
      <w:r>
        <w:rPr>
          <w:rFonts w:ascii="Times New Roman" w:hAnsi="Times New Roman" w:eastAsia="Times New Roman"/>
          <w:b w:val="0"/>
          <w:i w:val="0"/>
          <w:sz w:val="22"/>
        </w:rPr>
        <w:t>Správcem osobních údajů je vždy příslušné SVJ. Objednatel zpracovává osobní údaje pro SVJ jako zpracovatel na základě Smlouvy o správě, v níž SVJ udělilo obecné písemné povolení k zapojení dalšího zpracovatele (čl. 28 odst. 2 GDPR). Zhotovitel je dalším zpracovatelem a přebírá vůči Objednateli stejné povinnosti, jaké má Objednatel vůči SVJ (čl. 28 odst. 4 GDPR).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1.2  </w:t>
      </w:r>
      <w:r>
        <w:rPr>
          <w:rFonts w:ascii="Times New Roman" w:hAnsi="Times New Roman" w:eastAsia="Times New Roman"/>
          <w:b w:val="0"/>
          <w:i w:val="0"/>
          <w:sz w:val="22"/>
        </w:rPr>
        <w:t>Předmětem zpracování je vedení účetnictví, mzdové a daňové agendy SVJ podle čl. 3 smlouvy. Zpracování trvá po dobu trvání smlouvy a do splnění povinností podle odst. 9 této přílohy.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i w:val="0"/>
          <w:sz w:val="24"/>
        </w:rPr>
        <w:t>2. Kategorie subjektů a údajů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2.1  </w:t>
      </w:r>
      <w:r>
        <w:rPr>
          <w:rFonts w:ascii="Times New Roman" w:hAnsi="Times New Roman" w:eastAsia="Times New Roman"/>
          <w:b w:val="0"/>
          <w:i w:val="0"/>
          <w:sz w:val="22"/>
        </w:rPr>
        <w:t>Subjekty údajů: vlastníci jednotek a jejich zástupci, členové orgánů SVJ, osoby činné pro SVJ na základě dohod, dodavatelé – fyzické osoby, případně nájemci v rozsahu Podkladů.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2.2  </w:t>
      </w:r>
      <w:r>
        <w:rPr>
          <w:rFonts w:ascii="Times New Roman" w:hAnsi="Times New Roman" w:eastAsia="Times New Roman"/>
          <w:b w:val="0"/>
          <w:i w:val="0"/>
          <w:sz w:val="22"/>
        </w:rPr>
        <w:t>Kategorie údajů: identifikační a kontaktní údaje, údaje o jednotce a spoluvlastnickém podílu, údaje o předpisech, platbách a dluzích, bankovní spojení; u mzdové agendy též datum narození, rodné číslo, údaje o zdravotní pojišťovně, údaje pro daňové slevy a odvody. Zvláštní kategorie údajů (čl. 9 GDPR) zpracovává Zhotovitel jen tehdy, je-li to nezbytné pro mzdovou agendu podle právních předpisů.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i w:val="0"/>
          <w:sz w:val="24"/>
        </w:rPr>
        <w:t>3. Pokyny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3.1  </w:t>
      </w:r>
      <w:r>
        <w:rPr>
          <w:rFonts w:ascii="Times New Roman" w:hAnsi="Times New Roman" w:eastAsia="Times New Roman"/>
          <w:b w:val="0"/>
          <w:i w:val="0"/>
          <w:sz w:val="22"/>
        </w:rPr>
        <w:t>Zhotovitel zpracovává osobní údaje pouze na základě doložených pokynů Objednatele (tato smlouva je souhrnem pokynů), ledaže zpracování ukládá právo EU nebo České republiky; v takovém případě Objednatele předem informuje, nezakazuje-li to právní předpis (čl. 28 odst. 3 písm. a) GDPR). Považuje-li pokyn za rozporný s GDPR, neprodleně na to upozorní.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3.2  </w:t>
      </w:r>
      <w:r>
        <w:rPr>
          <w:rFonts w:ascii="Times New Roman" w:hAnsi="Times New Roman" w:eastAsia="Times New Roman"/>
          <w:b w:val="0"/>
          <w:i w:val="0"/>
          <w:sz w:val="22"/>
        </w:rPr>
        <w:t>Zhotovitel nepředá osobní údaje mimo Evropský hospodářský prostor bez předchozího písemného souhlasu Objednatele a splnění podmínek kapitoly V GDPR.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i w:val="0"/>
          <w:sz w:val="24"/>
        </w:rPr>
        <w:t>4. Mlčenlivost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4.1  </w:t>
      </w:r>
      <w:r>
        <w:rPr>
          <w:rFonts w:ascii="Times New Roman" w:hAnsi="Times New Roman" w:eastAsia="Times New Roman"/>
          <w:b w:val="0"/>
          <w:i w:val="0"/>
          <w:sz w:val="22"/>
        </w:rPr>
        <w:t>Zhotovitel zajistí, aby se osoby oprávněné zpracovávat osobní údaje zavázaly k mlčenlivosti nebo aby se na ně vztahovala zákonná povinnost mlčenlivosti (čl. 28 odst. 3 písm. b) GDPR).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i w:val="0"/>
          <w:sz w:val="24"/>
        </w:rPr>
        <w:t>5. Zabezpečení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5.1  </w:t>
      </w:r>
      <w:r>
        <w:rPr>
          <w:rFonts w:ascii="Times New Roman" w:hAnsi="Times New Roman" w:eastAsia="Times New Roman"/>
          <w:b w:val="0"/>
          <w:i w:val="0"/>
          <w:sz w:val="22"/>
        </w:rPr>
        <w:t>Zhotovitel přijme a udržuje technická a organizační opatření podle čl. 32 GDPR, nejméně v rozsahu uvedeném v odst. 10 této přílohy, a na žádost je Objednateli popíše.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i w:val="0"/>
          <w:sz w:val="24"/>
        </w:rPr>
        <w:t>6. Další zpracovatelé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6.1  </w:t>
      </w:r>
      <w:r>
        <w:rPr>
          <w:rFonts w:ascii="Times New Roman" w:hAnsi="Times New Roman" w:eastAsia="Times New Roman"/>
          <w:b w:val="0"/>
          <w:i w:val="0"/>
          <w:sz w:val="22"/>
        </w:rPr>
        <w:t>Zhotovitel nezapojí dalšího zpracovatele bez předchozího písemného povolení Objednatele. Za dalšího zpracovatele se nepovažuje dodavatel účetního software či cloudu, který Zhotovitel uvede v seznamu: [doplnit – např. název účetního software / cloudu]; o jeho změně Zhotovitel Objednatele informuje nejméně 30 dnů předem, aby Objednatel mohl informovat SVJ a umožnit mu vznést námitku. Zhotovitel uloží dalšímu zpracovateli stejné povinnosti a odpovídá za jeho plnění (čl. 28 odst. 4 GDPR).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i w:val="0"/>
          <w:sz w:val="24"/>
        </w:rPr>
        <w:t>7. Součinnost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7.1  </w:t>
      </w:r>
      <w:r>
        <w:rPr>
          <w:rFonts w:ascii="Times New Roman" w:hAnsi="Times New Roman" w:eastAsia="Times New Roman"/>
          <w:b w:val="0"/>
          <w:i w:val="0"/>
          <w:sz w:val="22"/>
        </w:rPr>
        <w:t>Zhotovitel poskytne Objednateli součinnost při plnění povinností správce reagovat na žádosti subjektů údajů (kapitola III GDPR), a to do 5 pracovních dnů od výzvy, a při plnění povinností podle čl. 32 až 36 GDPR (čl. 28 odst. 3 písm. e) a f) GDPR).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7.2  </w:t>
      </w:r>
      <w:r>
        <w:rPr>
          <w:rFonts w:ascii="Times New Roman" w:hAnsi="Times New Roman" w:eastAsia="Times New Roman"/>
          <w:b w:val="0"/>
          <w:i w:val="0"/>
          <w:sz w:val="22"/>
        </w:rPr>
        <w:t>Porušení zabezpečení osobních údajů oznámí Zhotovitel Objednateli bez zbytečného odkladu, nejpozději do 24 hodin od jeho zjištění, s informacemi podle čl. 33 odst. 3 GDPR, aby SVJ mohlo splnit ohlašovací povinnost do 72 hodin.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7.3  </w:t>
      </w:r>
      <w:r>
        <w:rPr>
          <w:rFonts w:ascii="Times New Roman" w:hAnsi="Times New Roman" w:eastAsia="Times New Roman"/>
          <w:b w:val="0"/>
          <w:i w:val="0"/>
          <w:sz w:val="22"/>
        </w:rPr>
        <w:t>Zhotovitel vede záznamy o činnostech zpracování podle čl. 30 odst. 2 GDPR, je-li k tomu povinen.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i w:val="0"/>
          <w:sz w:val="24"/>
        </w:rPr>
        <w:t>8. Audit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8.1  </w:t>
      </w:r>
      <w:r>
        <w:rPr>
          <w:rFonts w:ascii="Times New Roman" w:hAnsi="Times New Roman" w:eastAsia="Times New Roman"/>
          <w:b w:val="0"/>
          <w:i w:val="0"/>
          <w:sz w:val="22"/>
        </w:rPr>
        <w:t>Zhotovitel poskytne Objednateli a SVJ veškeré informace potřebné k doložení splnění povinností podle čl. 28 GDPR a umožní audity a inspekce prováděné Objednatelem, SVJ nebo pověřeným auditorem vázaným mlčenlivostí, oznámené nejméně 10 pracovních dnů předem, zpravidla nejvýše jednou ročně, nejde-li o šetření porušení zabezpečení (čl. 28 odst. 3 písm. h) GDPR).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i w:val="0"/>
          <w:sz w:val="24"/>
        </w:rPr>
        <w:t>9. Výmaz a vrácení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9.1  </w:t>
      </w:r>
      <w:r>
        <w:rPr>
          <w:rFonts w:ascii="Times New Roman" w:hAnsi="Times New Roman" w:eastAsia="Times New Roman"/>
          <w:b w:val="0"/>
          <w:i w:val="0"/>
          <w:sz w:val="22"/>
        </w:rPr>
        <w:t>Po skončení poskytování Účetních služeb pro dané SVJ Zhotovitel podle volby Objednatele (SVJ) osobní údaje předá postupem podle čl. 14 smlouvy a následně do 30 dnů vymaže, včetně kopií, ledaže právo EU nebo České republiky vyžaduje jejich uložení (čl. 28 odst. 3 písm. g) GDPR). Výmaz na žádost písemně potvrdí.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i w:val="0"/>
          <w:sz w:val="24"/>
        </w:rPr>
        <w:t>10. Minimální technická a organizační opatření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10.1  </w:t>
      </w:r>
      <w:r>
        <w:rPr>
          <w:rFonts w:ascii="Times New Roman" w:hAnsi="Times New Roman" w:eastAsia="Times New Roman"/>
          <w:b w:val="0"/>
          <w:i w:val="0"/>
          <w:sz w:val="22"/>
        </w:rPr>
        <w:t>a) přístup k údajům jen pro oprávněné osoby, individuální účty, silná hesla a vícefaktorové ověření, je-li dostupné; b) šifrování přenosných zařízení a zabezpečený přenos dat; c) pravidelné zálohování a test obnovy; d) aktualizace operačního systému, software a antiviru; e) uzamykatelné uložení listinných dokladů; f) logování přístupů v účetním systému, je-li k dispozici; g) proškolení osob o ochraně osobních údajů; h) bezpečná likvidace nosičů a listin.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i w:val="0"/>
          <w:sz w:val="24"/>
        </w:rPr>
        <w:t>11. Odpovědnost</w:t>
      </w:r>
    </w:p>
    <w:p>
      <w:pPr>
        <w:spacing w:after="80" w:before="40"/>
        <w:ind w:left="283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11.1  </w:t>
      </w:r>
      <w:r>
        <w:rPr>
          <w:rFonts w:ascii="Times New Roman" w:hAnsi="Times New Roman" w:eastAsia="Times New Roman"/>
          <w:b w:val="0"/>
          <w:i w:val="0"/>
          <w:sz w:val="22"/>
        </w:rPr>
        <w:t>Zhotovitel odpovídá za škodu a nahradí Objednateli sankce a náhrady, které Objednatel nebo SVJ uhradili v důsledku porušení povinností Zhotovitele podle této přílohy nebo GDPR (čl. 82 GDPR).</w:t>
      </w:r>
    </w:p>
    <w:p>
      <w:r>
        <w:br w:type="page"/>
      </w:r>
    </w:p>
    <w:p>
      <w:pPr>
        <w:spacing w:before="360" w:after="200"/>
      </w:pPr>
      <w:r>
        <w:rPr>
          <w:rFonts w:ascii="Times New Roman" w:hAnsi="Times New Roman" w:eastAsia="Times New Roman"/>
          <w:b/>
          <w:i w:val="0"/>
          <w:sz w:val="28"/>
        </w:rPr>
        <w:t>Příloha č. 3 – Harmonogram lhůt a reportingu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18"/>
        <w:gridCol w:w="3118"/>
        <w:gridCol w:w="3118"/>
      </w:tblGrid>
      <w:tr>
        <w:tc>
          <w:tcPr>
            <w:tcW w:type="dxa" w:w="4252"/>
            <w:shd w:fill="D9E2EC" w:val="clear"/>
          </w:tcPr>
          <w:p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Činnost</w:t>
            </w:r>
          </w:p>
        </w:tc>
        <w:tc>
          <w:tcPr>
            <w:tcW w:type="dxa" w:w="1587"/>
            <w:shd w:fill="D9E2EC" w:val="clear"/>
          </w:tcPr>
          <w:p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Odpovídá</w:t>
            </w:r>
          </w:p>
        </w:tc>
        <w:tc>
          <w:tcPr>
            <w:tcW w:type="dxa" w:w="2948"/>
            <w:shd w:fill="D9E2EC" w:val="clear"/>
          </w:tcPr>
          <w:p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Lhůta</w:t>
            </w:r>
          </w:p>
        </w:tc>
      </w:tr>
      <w:tr>
        <w:tc>
          <w:tcPr>
            <w:tcW w:type="dxa" w:w="4252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Předání měsíčních Podkladů</w:t>
            </w:r>
          </w:p>
        </w:tc>
        <w:tc>
          <w:tcPr>
            <w:tcW w:type="dxa" w:w="1587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Objednatel</w:t>
            </w:r>
          </w:p>
        </w:tc>
        <w:tc>
          <w:tcPr>
            <w:tcW w:type="dxa" w:w="2948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do 10. dne následujícího měsíce</w:t>
            </w:r>
          </w:p>
        </w:tc>
      </w:tr>
      <w:tr>
        <w:tc>
          <w:tcPr>
            <w:tcW w:type="dxa" w:w="4252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Upozornění na chybějící Podklady</w:t>
            </w:r>
          </w:p>
        </w:tc>
        <w:tc>
          <w:tcPr>
            <w:tcW w:type="dxa" w:w="1587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Zhotovitel</w:t>
            </w:r>
          </w:p>
        </w:tc>
        <w:tc>
          <w:tcPr>
            <w:tcW w:type="dxa" w:w="2948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do 5 pracovních dnů od obdržení</w:t>
            </w:r>
          </w:p>
        </w:tc>
      </w:tr>
      <w:tr>
        <w:tc>
          <w:tcPr>
            <w:tcW w:type="dxa" w:w="4252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Zaúčtování měsíce</w:t>
            </w:r>
          </w:p>
        </w:tc>
        <w:tc>
          <w:tcPr>
            <w:tcW w:type="dxa" w:w="1587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Zhotovitel</w:t>
            </w:r>
          </w:p>
        </w:tc>
        <w:tc>
          <w:tcPr>
            <w:tcW w:type="dxa" w:w="2948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do [doplnit] dne následujícího měsíce</w:t>
            </w:r>
          </w:p>
        </w:tc>
      </w:tr>
      <w:tr>
        <w:tc>
          <w:tcPr>
            <w:tcW w:type="dxa" w:w="4252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Měsíční přehled (stav účtů, fondů, saldo dlužníků)</w:t>
            </w:r>
          </w:p>
        </w:tc>
        <w:tc>
          <w:tcPr>
            <w:tcW w:type="dxa" w:w="1587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Zhotovitel</w:t>
            </w:r>
          </w:p>
        </w:tc>
        <w:tc>
          <w:tcPr>
            <w:tcW w:type="dxa" w:w="2948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do [doplnit] dne následujícího měsíce</w:t>
            </w:r>
          </w:p>
        </w:tc>
      </w:tr>
      <w:tr>
        <w:tc>
          <w:tcPr>
            <w:tcW w:type="dxa" w:w="4252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Mzdová agenda, hlášení a odvody</w:t>
            </w:r>
          </w:p>
        </w:tc>
        <w:tc>
          <w:tcPr>
            <w:tcW w:type="dxa" w:w="1587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Zhotovitel</w:t>
            </w:r>
          </w:p>
        </w:tc>
        <w:tc>
          <w:tcPr>
            <w:tcW w:type="dxa" w:w="2948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v zákonných lhůtách</w:t>
            </w:r>
          </w:p>
        </w:tc>
      </w:tr>
      <w:tr>
        <w:tc>
          <w:tcPr>
            <w:tcW w:type="dxa" w:w="4252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Podklady k inventarizaci a závěrce</w:t>
            </w:r>
          </w:p>
        </w:tc>
        <w:tc>
          <w:tcPr>
            <w:tcW w:type="dxa" w:w="1587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Objednatel</w:t>
            </w:r>
          </w:p>
        </w:tc>
        <w:tc>
          <w:tcPr>
            <w:tcW w:type="dxa" w:w="2948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do 31. ledna</w:t>
            </w:r>
          </w:p>
        </w:tc>
      </w:tr>
      <w:tr>
        <w:tc>
          <w:tcPr>
            <w:tcW w:type="dxa" w:w="4252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Podklady pro vyúčtování služeb</w:t>
            </w:r>
          </w:p>
        </w:tc>
        <w:tc>
          <w:tcPr>
            <w:tcW w:type="dxa" w:w="1587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Zhotovitel</w:t>
            </w:r>
          </w:p>
        </w:tc>
        <w:tc>
          <w:tcPr>
            <w:tcW w:type="dxa" w:w="2948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do [doplnit – např. 28. února]</w:t>
            </w:r>
          </w:p>
        </w:tc>
      </w:tr>
      <w:tr>
        <w:tc>
          <w:tcPr>
            <w:tcW w:type="dxa" w:w="4252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Účetní závěrka</w:t>
            </w:r>
          </w:p>
        </w:tc>
        <w:tc>
          <w:tcPr>
            <w:tcW w:type="dxa" w:w="1587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Zhotovitel</w:t>
            </w:r>
          </w:p>
        </w:tc>
        <w:tc>
          <w:tcPr>
            <w:tcW w:type="dxa" w:w="2948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do [doplnit – doporučeno 31. března]</w:t>
            </w:r>
          </w:p>
        </w:tc>
      </w:tr>
      <w:tr>
        <w:tc>
          <w:tcPr>
            <w:tcW w:type="dxa" w:w="4252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Daňová přiznání SVJ k podpisu</w:t>
            </w:r>
          </w:p>
        </w:tc>
        <w:tc>
          <w:tcPr>
            <w:tcW w:type="dxa" w:w="1587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Zhotovitel</w:t>
            </w:r>
          </w:p>
        </w:tc>
        <w:tc>
          <w:tcPr>
            <w:tcW w:type="dxa" w:w="2948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10 pracovních dnů před koncem lhůty (§ 136 daňového řádu)</w:t>
            </w:r>
          </w:p>
        </w:tc>
      </w:tr>
      <w:tr>
        <w:tc>
          <w:tcPr>
            <w:tcW w:type="dxa" w:w="4252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Podklady ke zveřejnění závěrky ve sbírce listin</w:t>
            </w:r>
          </w:p>
        </w:tc>
        <w:tc>
          <w:tcPr>
            <w:tcW w:type="dxa" w:w="1587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Zhotovitel</w:t>
            </w:r>
          </w:p>
        </w:tc>
        <w:tc>
          <w:tcPr>
            <w:tcW w:type="dxa" w:w="2948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do 10 dnů po schválení závěrky</w:t>
            </w:r>
          </w:p>
        </w:tc>
      </w:tr>
    </w:tbl>
    <w:p/>
    <w:p>
      <w:pPr>
        <w:spacing w:after="120" w:before="0" w:line="276" w:lineRule="auto"/>
        <w:jc w:val="both"/>
      </w:pPr>
      <w:r>
        <w:rPr>
          <w:rFonts w:ascii="Times New Roman" w:hAnsi="Times New Roman" w:eastAsia="Times New Roman"/>
          <w:b w:val="0"/>
          <w:i/>
          <w:sz w:val="18"/>
        </w:rPr>
        <w:t>Upozornění: Tento dokument je vzor připravený pro potřeby Profi Správce SVJ. Nejde o právní službu a nenahrazuje individuální právní poradenství. Před použitím doporučujeme nechat text zkontrolovat advokátem, zejména s ohledem na stanovy konkrétního SVJ, aktuální znění právních předpisů a konkrétní obchodní model.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247" w:left="141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6" w:space="4" w:color="888888"/>
      </w:pBdr>
    </w:pPr>
    <w:r>
      <w:rPr>
        <w:rFonts w:ascii="Times New Roman" w:hAnsi="Times New Roman" w:eastAsia="Times New Roman"/>
        <w:b w:val="0"/>
        <w:i w:val="0"/>
        <w:sz w:val="16"/>
      </w:rPr>
      <w:t xml:space="preserve">Strana </w:t>
    </w:r>
    <w:r>
      <w:rPr>
        <w:rFonts w:ascii="Times New Roman" w:hAnsi="Times New Roman" w:eastAsia="Times New Roman"/>
        <w:b w:val="0"/>
        <w:i w:val="0"/>
        <w:sz w:val="16"/>
      </w:rPr>
      <w:fldChar w:fldCharType="begin"/>
    </w:r>
    <w:r>
      <w:rPr>
        <w:rFonts w:ascii="Times New Roman" w:hAnsi="Times New Roman" w:eastAsia="Times New Roman"/>
        <w:b w:val="0"/>
        <w:i w:val="0"/>
        <w:sz w:val="16"/>
      </w:rPr>
      <w:instrText xml:space="preserve"> PAGE </w:instrText>
    </w:r>
    <w:r>
      <w:rPr>
        <w:rFonts w:ascii="Times New Roman" w:hAnsi="Times New Roman" w:eastAsia="Times New Roman"/>
        <w:b w:val="0"/>
        <w:i w:val="0"/>
        <w:sz w:val="16"/>
      </w:rPr>
      <w:fldChar w:fldCharType="end"/>
    </w:r>
    <w:r>
      <w:rPr>
        <w:rFonts w:ascii="Times New Roman" w:hAnsi="Times New Roman" w:eastAsia="Times New Roman"/>
        <w:b w:val="0"/>
        <w:i w:val="0"/>
        <w:sz w:val="16"/>
      </w:rPr>
      <w:t xml:space="preserve"> / </w:t>
    </w:r>
    <w:r>
      <w:rPr>
        <w:rFonts w:ascii="Times New Roman" w:hAnsi="Times New Roman" w:eastAsia="Times New Roman"/>
        <w:b w:val="0"/>
        <w:i w:val="0"/>
        <w:sz w:val="16"/>
      </w:rPr>
      <w:fldChar w:fldCharType="begin"/>
    </w:r>
    <w:r>
      <w:rPr>
        <w:rFonts w:ascii="Times New Roman" w:hAnsi="Times New Roman" w:eastAsia="Times New Roman"/>
        <w:b w:val="0"/>
        <w:i w:val="0"/>
        <w:sz w:val="16"/>
      </w:rPr>
      <w:instrText xml:space="preserve"> NUMPAGES </w:instrText>
    </w:r>
    <w:r>
      <w:rPr>
        <w:rFonts w:ascii="Times New Roman" w:hAnsi="Times New Roman" w:eastAsia="Times New Roman"/>
        <w:b w:val="0"/>
        <w:i w:val="0"/>
        <w:sz w:val="16"/>
      </w:rPr>
      <w:fldChar w:fldCharType="end"/>
    </w:r>
    <w:r>
      <w:rPr>
        <w:rFonts w:ascii="Times New Roman" w:hAnsi="Times New Roman" w:eastAsia="Times New Roman"/>
        <w:b w:val="0"/>
        <w:i/>
        <w:color w:val="666666"/>
        <w:sz w:val="14"/>
      </w:rPr>
      <w:t xml:space="preserve">  |  Vzor – před použitím doporučena kontrola advokátem.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  <w:pBdr>
        <w:bottom w:val="single" w:sz="6" w:space="4" w:color="888888"/>
      </w:pBdr>
    </w:pPr>
    <w:r>
      <w:rPr>
        <w:rFonts w:ascii="Times New Roman" w:hAnsi="Times New Roman" w:eastAsia="Times New Roman"/>
        <w:b w:val="0"/>
        <w:i/>
        <w:color w:val="555555"/>
        <w:sz w:val="16"/>
      </w:rPr>
      <w:t>Rámcová smlouva s účetní pro SVJ | Profi Správce SVJ – Bc. Martin Pohl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