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276" w:lineRule="auto"/>
        <w:jc w:val="center"/>
      </w:pPr>
      <w:r>
        <w:rPr>
          <w:rFonts w:ascii="Times New Roman" w:hAnsi="Times New Roman" w:eastAsia="Times New Roman"/>
          <w:b/>
          <w:i w:val="0"/>
          <w:sz w:val="32"/>
        </w:rPr>
        <w:t>KLAUZULE DO SMLOUVY O SPRÁVĚ SVJ</w:t>
      </w:r>
    </w:p>
    <w:p>
      <w:pPr>
        <w:spacing w:after="280" w:before="0" w:line="276" w:lineRule="auto"/>
        <w:jc w:val="center"/>
      </w:pPr>
      <w:r>
        <w:rPr>
          <w:rFonts w:ascii="Times New Roman" w:hAnsi="Times New Roman" w:eastAsia="Times New Roman"/>
          <w:b w:val="0"/>
          <w:i/>
          <w:sz w:val="22"/>
        </w:rPr>
        <w:t>Vedení účetnictví prostřednictvím subdodavatele (externí účetní)</w:t>
      </w:r>
    </w:p>
    <w:p/>
    <w:p>
      <w:pPr>
        <w:spacing w:before="360" w:after="200"/>
      </w:pPr>
      <w:r>
        <w:rPr>
          <w:rFonts w:ascii="Times New Roman" w:hAnsi="Times New Roman" w:eastAsia="Times New Roman"/>
          <w:b/>
          <w:i w:val="0"/>
          <w:sz w:val="28"/>
        </w:rPr>
        <w:t>Článek X – Vedení účetnictví prostřednictvím subdodavatele</w:t>
      </w:r>
    </w:p>
    <w:p>
      <w:pPr>
        <w:spacing w:after="80" w:before="40"/>
        <w:ind w:left="283"/>
        <w:jc w:val="both"/>
      </w:pPr>
      <w:r>
        <w:rPr>
          <w:rFonts w:ascii="Times New Roman" w:hAnsi="Times New Roman" w:eastAsia="Times New Roman"/>
          <w:b/>
          <w:i w:val="0"/>
          <w:sz w:val="22"/>
        </w:rPr>
        <w:t xml:space="preserve">X.1  </w:t>
      </w:r>
      <w:r>
        <w:rPr>
          <w:rFonts w:ascii="Times New Roman" w:hAnsi="Times New Roman" w:eastAsia="Times New Roman"/>
          <w:b w:val="0"/>
          <w:i w:val="0"/>
          <w:sz w:val="22"/>
        </w:rPr>
        <w:t>Vedení účetnictví Objednatele podle zákona č. 563/1991 Sb., o účetnictví, ve znění pozdějších předpisů (dále jen „zákon o účetnictví“), a s ním související činnosti uvedené v příloze č. [X] této smlouvy (Rozsah služeb) (dále jen „Účetní služby“) nezajišťuje Poskytovatel osobně. Účetní služby poskytuje subdodavatel Poskytovatele, který je držitelem živnostenského oprávnění pro vázanou živnost „Činnost účetních poradců, vedení účetnictví, vedení daňové evidence“ podle přílohy č. 2 zákona č. 455/1991 Sb., o živnostenském podnikání (živnostenský zákon), ve znění pozdějších předpisů (dále jen „Účetní“). Účetní poskytuje Účetní služby vlastním jménem a na vlastní odpovědnost. Činnost Poskytovatele spočívá ve výběru Účetní, koordinaci jejího plnění, shromažďování a předávání podkladů a v kontrole dodržování lhůt; Poskytovatel sám účetnictví Objednatele nevede.</w:t>
      </w:r>
    </w:p>
    <w:p>
      <w:pPr>
        <w:spacing w:after="80" w:before="40"/>
        <w:ind w:left="283"/>
        <w:jc w:val="both"/>
      </w:pPr>
      <w:r>
        <w:rPr>
          <w:rFonts w:ascii="Times New Roman" w:hAnsi="Times New Roman" w:eastAsia="Times New Roman"/>
          <w:b/>
          <w:i w:val="0"/>
          <w:sz w:val="22"/>
        </w:rPr>
        <w:t xml:space="preserve">X.2  </w:t>
      </w:r>
      <w:r>
        <w:rPr>
          <w:rFonts w:ascii="Times New Roman" w:hAnsi="Times New Roman" w:eastAsia="Times New Roman"/>
          <w:b w:val="0"/>
          <w:i w:val="0"/>
          <w:sz w:val="22"/>
        </w:rPr>
        <w:t>Identifikační údaje Účetní (jméno nebo obchodní firma, IČO, sídlo, údaj o živnostenském oprávnění a o pojištění profesní odpovědnosti) jsou uvedeny v příloze č. [Y] této smlouvy (Identifikace Účetní). Poskytovatel je oprávněn Účetní nahradit jinou osobou splňující podmínky odst. X.1; zamýšlenou změnu oznámí Objednateli písemně (postačí e-mail Výboru) nejméně 30 dnů předem, s uvedením identifikačních údajů nové Účetní. Doručením oznámení se příloha č. [Y] považuje za aktualizovanou, aniž je třeba uzavírat dodatek. Pozbude-li Účetní oprávnění nebo pojištění, nebo poruší-li závažně své povinnosti, je Poskytovatel oprávněn ji nahradit i bez předchozího oznámení; změnu pak Objednateli oznámí bez zbytečného odkladu, nejpozději do 5 pracovních dnů.</w:t>
      </w:r>
    </w:p>
    <w:p>
      <w:pPr>
        <w:spacing w:after="80" w:before="40"/>
        <w:ind w:left="283"/>
        <w:jc w:val="both"/>
      </w:pPr>
      <w:r>
        <w:rPr>
          <w:rFonts w:ascii="Times New Roman" w:hAnsi="Times New Roman" w:eastAsia="Times New Roman"/>
          <w:b/>
          <w:i w:val="0"/>
          <w:sz w:val="22"/>
        </w:rPr>
        <w:t xml:space="preserve">X.3  </w:t>
      </w:r>
      <w:r>
        <w:rPr>
          <w:rFonts w:ascii="Times New Roman" w:hAnsi="Times New Roman" w:eastAsia="Times New Roman"/>
          <w:b w:val="0"/>
          <w:i w:val="0"/>
          <w:sz w:val="22"/>
        </w:rPr>
        <w:t>Objednatel podpisem této smlouvy výslovně souhlasí se zajištěním Účetních služeb prostřednictvím Účetní podle odst. X.1 a X.2 a uděluje Poskytovateli obecné písemné povolení zapojit Účetní jako dalšího zpracovatele osobních údajů ve smyslu čl. 28 odst. 2 nařízení Evropského parlamentu a Rady (EU) 2016/679 (GDPR). Poskytovatel uloží Účetní písemnou smlouvou stejné povinnosti na ochranu osobních údajů, jaké jsou stanoveny Poskytovateli v příloze č. [Z] této smlouvy (Zpracování osobních údajů) (čl. 28 odst. 4 GDPR). Neplní-li Účetní své povinnosti v oblasti ochrany osobních údajů, odpovídá za jejich plnění Objednateli i nadále Poskytovatel (čl. 28 odst. 4 věta druhá GDPR).</w:t>
      </w:r>
    </w:p>
    <w:p>
      <w:pPr>
        <w:spacing w:after="80" w:before="40"/>
        <w:ind w:left="283"/>
        <w:jc w:val="both"/>
      </w:pPr>
      <w:r>
        <w:rPr>
          <w:rFonts w:ascii="Times New Roman" w:hAnsi="Times New Roman" w:eastAsia="Times New Roman"/>
          <w:b/>
          <w:i w:val="0"/>
          <w:sz w:val="22"/>
        </w:rPr>
        <w:t xml:space="preserve">X.4  </w:t>
      </w:r>
      <w:r>
        <w:rPr>
          <w:rFonts w:ascii="Times New Roman" w:hAnsi="Times New Roman" w:eastAsia="Times New Roman"/>
          <w:b w:val="0"/>
          <w:i w:val="0"/>
          <w:sz w:val="22"/>
        </w:rPr>
        <w:t>Objednatel je oprávněn proti zamýšlené změně Účetní vznést písemnou odůvodněnou námitku, a to do 15 dnů od doručení oznámení podle odst. X.2. Byla-li námitka vznesena včas, Poskytovatel změnu neprovede a strany do 30 dnů projednají jiné řešení. Nedohodnou-li se, je Objednatel oprávněn písemně (a) vyjmout Účetní služby z rozsahu Služeb a zajistit si vedení účetnictví sám, přičemž se odměna Poskytovatele přiměřeně sníží podle Ceníku (příloha č. [C]), nebo (b) vypovědět tuto smlouvu s výpovědní dobou 1 měsíc, která počíná běžet prvním dnem měsíce následujícího po doručení výpovědi. Do skončení postupu podle tohoto odstavce poskytuje Účetní služby dosavadní Účetní; v případě náhrady podle odst. X.2 věty třetí osoba, kterou Poskytovatel určil.</w:t>
      </w:r>
    </w:p>
    <w:p>
      <w:pPr>
        <w:spacing w:after="80" w:before="40"/>
        <w:ind w:left="283"/>
        <w:jc w:val="both"/>
      </w:pPr>
      <w:r>
        <w:rPr>
          <w:rFonts w:ascii="Times New Roman" w:hAnsi="Times New Roman" w:eastAsia="Times New Roman"/>
          <w:b/>
          <w:i w:val="0"/>
          <w:sz w:val="22"/>
        </w:rPr>
        <w:t xml:space="preserve">X.5  </w:t>
      </w:r>
      <w:r>
        <w:rPr>
          <w:rFonts w:ascii="Times New Roman" w:hAnsi="Times New Roman" w:eastAsia="Times New Roman"/>
          <w:b w:val="0"/>
          <w:i w:val="0"/>
          <w:sz w:val="22"/>
        </w:rPr>
        <w:t>Poskytovatel odpovídá Objednateli za řádný výběr Účetní, zejména za ověření jejího živnostenského oprávnění v živnostenském rejstříku a jejího pojištění před jejím zapojením a dále nejméně jednou ročně, za koordinaci Účetních služeb, za úplné a včasné předání podkladů, které od Objednatele obdržel, a za sledování lhůt. Na žádost Výboru Poskytovatel doloží výpis z živnostenského rejstříku a potvrzení o pojištění Účetní.</w:t>
      </w:r>
    </w:p>
    <w:p>
      <w:pPr>
        <w:spacing w:after="80" w:before="40"/>
        <w:ind w:left="283"/>
        <w:jc w:val="both"/>
      </w:pPr>
      <w:r>
        <w:rPr>
          <w:rFonts w:ascii="Times New Roman" w:hAnsi="Times New Roman" w:eastAsia="Times New Roman"/>
          <w:b/>
          <w:i w:val="0"/>
          <w:sz w:val="22"/>
        </w:rPr>
        <w:t xml:space="preserve">X.6  </w:t>
      </w:r>
      <w:r>
        <w:rPr>
          <w:rFonts w:ascii="Times New Roman" w:hAnsi="Times New Roman" w:eastAsia="Times New Roman"/>
          <w:b w:val="0"/>
          <w:i w:val="0"/>
          <w:sz w:val="22"/>
        </w:rPr>
        <w:t>Za odbornou správnost, úplnost, průkaznost a včasnost účetnictví (§ 8 zákona o účetnictví), účetní závěrky, daňových přiznání a dalších výstupů Účetních služeb odpovídá Účetní. Poskytovatel zajistí, aby smlouva mezi ním a Účetní obsahovala ujednání ve prospěch Objednatele podle § 1767 zákona č. 89/2012 Sb., občanský zákoník (dále jen „občanský zákoník“), na jehož základě je Objednatel oprávněn požadovat řádné plnění a náhradu škody přímo po Účetní, a aby Účetní byla po celou dobu poskytování Účetních služeb pojištěna pro případ odpovědnosti za škodu způsobenou výkonem své činnosti s limitem pojistného plnění nejméně [doplnit] Kč. Poskytovatel poskytne Objednateli při uplatnění nároků vůči Účetní nezbytnou součinnost. Tímto odstavcem nejsou dotčeny povinnosti Objednatele jako účetní jednotky podle zákona o účetnictví ani odpovědnost Poskytovatele podle odst. X.5.</w:t>
      </w:r>
    </w:p>
    <w:p>
      <w:pPr>
        <w:spacing w:after="80" w:before="40"/>
        <w:ind w:left="283"/>
        <w:jc w:val="both"/>
      </w:pPr>
      <w:r>
        <w:rPr>
          <w:rFonts w:ascii="Times New Roman" w:hAnsi="Times New Roman" w:eastAsia="Times New Roman"/>
          <w:b/>
          <w:i w:val="0"/>
          <w:sz w:val="22"/>
        </w:rPr>
        <w:t xml:space="preserve">X.7  </w:t>
      </w:r>
      <w:r>
        <w:rPr>
          <w:rFonts w:ascii="Times New Roman" w:hAnsi="Times New Roman" w:eastAsia="Times New Roman"/>
          <w:b w:val="0"/>
          <w:i w:val="0"/>
          <w:sz w:val="22"/>
        </w:rPr>
        <w:t>Objednatel předává Poskytovateli účetní doklady a další podklady (zejména přijaté faktury, smlouvy, pokladní doklady, podklady k předpisům příspěvků a záloh, podklady k odměnám členů orgánů a k dohodám o provedení práce) průběžně, nejpozději do 5. dne měsíce následujícího po měsíci, kterého se týkají; Poskytovatel je předá Účetní nejpozději do 10. dne téhož měsíce. Účetní případy daného měsíce Účetní zaúčtuje nejpozději do konce měsíce, v němž obdržela úplné podklady. Podklady k inventarizaci (§ 29 a 30 zákona o účetnictví) a k roční účetní závěrce předá Objednatel nejpozději do 31. ledna následujícího roku. Účetní závěrku sestaví Účetní nejpozději do [doplnit – doporučeno 31. března] následujícího roku, tak aby ji bylo možno předložit ke schválení příslušnému orgánu Objednatele; daňové přiznání Objednatele zpracuje Účetní tak, aby mohlo být podáno v zákonné lhůtě. Poskytovatel zajistí předložení účetní závěrky ke schválení a podklady pro její zveřejnění ve sbírce listin (§ 21a zákona o účetnictví). Za důsledky opožděného nebo neúplného předání podkladů Objednatelem Poskytovatel ani Účetní neodpovídají, upozornili-li na chybějící podklady bez zbytečného odkladu.</w:t>
      </w:r>
    </w:p>
    <w:p>
      <w:pPr>
        <w:spacing w:after="80" w:before="40"/>
        <w:ind w:left="283"/>
        <w:jc w:val="both"/>
      </w:pPr>
      <w:r>
        <w:rPr>
          <w:rFonts w:ascii="Times New Roman" w:hAnsi="Times New Roman" w:eastAsia="Times New Roman"/>
          <w:b/>
          <w:i w:val="0"/>
          <w:sz w:val="22"/>
        </w:rPr>
        <w:t xml:space="preserve">X.8  </w:t>
      </w:r>
      <w:r>
        <w:rPr>
          <w:rFonts w:ascii="Times New Roman" w:hAnsi="Times New Roman" w:eastAsia="Times New Roman"/>
          <w:b w:val="0"/>
          <w:i w:val="0"/>
          <w:sz w:val="22"/>
        </w:rPr>
        <w:t>Účetní knihy, účetní doklady a ostatní účetní záznamy Objednatele (dále jen „účetní záznamy“) náleží Objednateli jako účetní jednotce, a to bez ohledu na to, kdo je vyhotovil nebo v jakém systému jsou vedeny. Poskytovatel ani Účetní nejsou oprávněni k účetním záznamům vykonávat zadržovací právo (§ 1395 a násl. občanského zákoníku) ani jejich předání podmiňovat úhradou jakýchkoli pohledávek. Po dobu trvání smlouvy zajišťuje Poskytovatel (prostřednictvím Účetní) úschovu účetních záznamů, které má u sebe, v souladu s § 31 a 32 zákona o účetnictví, zejména účetní závěrky po dobu 10 let a účetní doklady, účetní knihy, inventurní soupisy a účtový rozvrh po dobu 5 let počínaje koncem účetního období, kterého se týkají, nestanoví-li zvláštní právní předpis lhůtu delší (zejména předpisy daňové a předpisy o sociálním zabezpečení u mzdových listů).</w:t>
      </w:r>
    </w:p>
    <w:p>
      <w:pPr>
        <w:spacing w:after="80" w:before="40"/>
        <w:ind w:left="283"/>
        <w:jc w:val="both"/>
      </w:pPr>
      <w:r>
        <w:rPr>
          <w:rFonts w:ascii="Times New Roman" w:hAnsi="Times New Roman" w:eastAsia="Times New Roman"/>
          <w:b/>
          <w:i w:val="0"/>
          <w:sz w:val="22"/>
        </w:rPr>
        <w:t xml:space="preserve">X.9  </w:t>
      </w:r>
      <w:r>
        <w:rPr>
          <w:rFonts w:ascii="Times New Roman" w:hAnsi="Times New Roman" w:eastAsia="Times New Roman"/>
          <w:b w:val="0"/>
          <w:i w:val="0"/>
          <w:sz w:val="22"/>
        </w:rPr>
        <w:t>Při skončení této smlouvy, při vynětí Účetních služeb podle odst. X.4 nebo na žádost Objednatele zajistí Poskytovatel, aby Účetní bez zbytečného odkladu, nejpozději do 30 dnů, předala Objednateli nebo osobě, kterou Objednatel písemně určí, veškeré účetní záznamy v listinné i elektronické podobě, a to zejména účetní doklady, účetní knihy, účtový rozvrh, inventurní soupisy, účetní závěrky, daňová přiznání a doklady o jejich podání, mzdové listy a další mzdovou dokumentaci, export dat z účetního software ve strojově čitelném formátu a přehled rozpracovaných případů a běžících lhůt. O předání se sepíše protokol podle přílohy č. [P] (Předávací protokol). Ustanovení čl. [číslo článku Předání agendy] této smlouvy se použije obdobně. Po předání Účetní a Poskytovatel osobní údaje a kopie účetních záznamů vymažou nebo zlikvidují, ledaže jim jejich uchování ukládá právní předpis.</w:t>
      </w:r>
    </w:p>
    <w:p>
      <w:pPr>
        <w:spacing w:after="80" w:before="40"/>
        <w:ind w:left="283"/>
        <w:jc w:val="both"/>
      </w:pPr>
      <w:r>
        <w:rPr>
          <w:rFonts w:ascii="Times New Roman" w:hAnsi="Times New Roman" w:eastAsia="Times New Roman"/>
          <w:b/>
          <w:i w:val="0"/>
          <w:sz w:val="22"/>
        </w:rPr>
        <w:t xml:space="preserve">X.10  </w:t>
      </w:r>
      <w:r>
        <w:rPr>
          <w:rFonts w:ascii="Times New Roman" w:hAnsi="Times New Roman" w:eastAsia="Times New Roman"/>
          <w:b w:val="0"/>
          <w:i w:val="0"/>
          <w:sz w:val="22"/>
        </w:rPr>
        <w:t>Odměna za Účetní služby [zvolte jednu variantu, druhou vypusťte]:</w:t>
      </w:r>
    </w:p>
    <w:p>
      <w:pPr>
        <w:spacing w:after="80" w:before="0" w:line="276" w:lineRule="auto"/>
        <w:ind w:left="680"/>
        <w:jc w:val="both"/>
      </w:pPr>
      <w:r>
        <w:rPr>
          <w:rFonts w:ascii="Times New Roman" w:hAnsi="Times New Roman" w:eastAsia="Times New Roman"/>
          <w:b w:val="0"/>
          <w:i w:val="0"/>
          <w:sz w:val="22"/>
        </w:rPr>
        <w:t>VARIANTA A – v paušálu: Odměna za Účetní služby je zahrnuta v základní odměně Poskytovatele podle čl. [číslo článku Odměna] a Ceníku. Odměnu Účetní hradí Poskytovatel ze své odměny.</w:t>
      </w:r>
    </w:p>
    <w:p>
      <w:pPr>
        <w:spacing w:after="80" w:before="0" w:line="276" w:lineRule="auto"/>
        <w:ind w:left="680"/>
        <w:jc w:val="both"/>
      </w:pPr>
      <w:r>
        <w:rPr>
          <w:rFonts w:ascii="Times New Roman" w:hAnsi="Times New Roman" w:eastAsia="Times New Roman"/>
          <w:b w:val="0"/>
          <w:i w:val="0"/>
          <w:sz w:val="22"/>
        </w:rPr>
        <w:t>VARIANTA B – zvlášť dle ceníku: Za Účetní služby náleží Poskytovateli zvláštní odměna podle Ceníku (příloha č. [C]), položka „Vedení účetnictví“, ve výši [doplnit] Kč měsíčně bez DPH; roční účetní závěrka, daňové přiznání a mzdová agenda se účtují podle Ceníku, nejsou-li v uvedené částce zahrnuty. Odměna se fakturuje spolu se základní odměnou podle čl. [číslo článku Odměna].</w:t>
      </w:r>
    </w:p>
    <w:p>
      <w:pPr>
        <w:spacing w:after="80" w:before="0" w:line="276" w:lineRule="auto"/>
        <w:ind w:left="680"/>
        <w:jc w:val="both"/>
      </w:pPr>
      <w:r>
        <w:rPr>
          <w:rFonts w:ascii="Times New Roman" w:hAnsi="Times New Roman" w:eastAsia="Times New Roman"/>
          <w:b w:val="0"/>
          <w:i w:val="0"/>
          <w:sz w:val="22"/>
        </w:rPr>
        <w:t>V obou variantách platí, že Objednatel nemá vůči Účetní žádnou platební povinnost.</w:t>
      </w:r>
    </w:p>
    <w:p>
      <w:pPr>
        <w:spacing w:after="80" w:before="40"/>
        <w:ind w:left="283"/>
        <w:jc w:val="both"/>
      </w:pPr>
      <w:r>
        <w:rPr>
          <w:rFonts w:ascii="Times New Roman" w:hAnsi="Times New Roman" w:eastAsia="Times New Roman"/>
          <w:b/>
          <w:i w:val="0"/>
          <w:sz w:val="22"/>
        </w:rPr>
        <w:t xml:space="preserve">X.11  </w:t>
      </w:r>
      <w:r>
        <w:rPr>
          <w:rFonts w:ascii="Times New Roman" w:hAnsi="Times New Roman" w:eastAsia="Times New Roman"/>
          <w:b w:val="0"/>
          <w:i w:val="0"/>
          <w:sz w:val="22"/>
        </w:rPr>
        <w:t>Ustanovení čl. [číslo] odst. [číslo] této smlouvy o pověření třetích osob se na Účetní služby použije, nestanoví-li tento článek jinak.</w:t>
      </w:r>
    </w:p>
    <w:p>
      <w:pPr>
        <w:spacing w:before="240" w:after="120"/>
      </w:pPr>
      <w:r>
        <w:rPr>
          <w:rFonts w:ascii="Times New Roman" w:hAnsi="Times New Roman" w:eastAsia="Times New Roman"/>
          <w:b/>
          <w:i w:val="0"/>
          <w:sz w:val="24"/>
        </w:rPr>
        <w:t>Příloha č. [Y] – Identifikace Účetní (subdodavatele)</w:t>
      </w:r>
    </w:p>
    <w:tbl>
      <w:tblPr>
        <w:tblStyle w:val="TableGrid"/>
        <w:tblW w:type="auto" w:w="0"/>
        <w:tblLook w:firstColumn="1" w:firstRow="1" w:lastColumn="0" w:lastRow="0" w:noHBand="0" w:noVBand="1" w:val="04A0"/>
      </w:tblPr>
      <w:tblGrid>
        <w:gridCol w:w="4677"/>
        <w:gridCol w:w="4677"/>
      </w:tblGrid>
      <w:tr>
        <w:tc>
          <w:tcPr>
            <w:tcW w:type="dxa" w:w="3118"/>
            <w:shd w:fill="D9E2EC" w:val="clear"/>
          </w:tcPr>
          <w:p>
            <w:r>
              <w:rPr>
                <w:rFonts w:ascii="Times New Roman" w:hAnsi="Times New Roman" w:eastAsia="Times New Roman"/>
                <w:b/>
                <w:i w:val="0"/>
                <w:sz w:val="18"/>
              </w:rPr>
              <w:t>Údaj</w:t>
            </w:r>
          </w:p>
        </w:tc>
        <w:tc>
          <w:tcPr>
            <w:tcW w:type="dxa" w:w="5669"/>
            <w:shd w:fill="D9E2EC" w:val="clear"/>
          </w:tcPr>
          <w:p>
            <w:r>
              <w:rPr>
                <w:rFonts w:ascii="Times New Roman" w:hAnsi="Times New Roman" w:eastAsia="Times New Roman"/>
                <w:b/>
                <w:i w:val="0"/>
                <w:sz w:val="18"/>
              </w:rPr>
              <w:t>Hodnota</w:t>
            </w:r>
          </w:p>
        </w:tc>
      </w:tr>
      <w:tr>
        <w:tc>
          <w:tcPr>
            <w:tcW w:type="dxa" w:w="3118"/>
          </w:tcPr>
          <w:p>
            <w:r>
              <w:rPr>
                <w:rFonts w:ascii="Times New Roman" w:hAnsi="Times New Roman" w:eastAsia="Times New Roman"/>
                <w:b w:val="0"/>
                <w:i w:val="0"/>
                <w:sz w:val="18"/>
              </w:rPr>
              <w:t>Jméno / obchodní firma</w:t>
            </w:r>
          </w:p>
        </w:tc>
        <w:tc>
          <w:tcPr>
            <w:tcW w:type="dxa" w:w="5669"/>
          </w:tcPr>
          <w:p>
            <w:r>
              <w:rPr>
                <w:rFonts w:ascii="Times New Roman" w:hAnsi="Times New Roman" w:eastAsia="Times New Roman"/>
                <w:b w:val="0"/>
                <w:i w:val="0"/>
                <w:sz w:val="18"/>
              </w:rPr>
              <w:t>[doplnit]</w:t>
            </w:r>
          </w:p>
        </w:tc>
      </w:tr>
      <w:tr>
        <w:tc>
          <w:tcPr>
            <w:tcW w:type="dxa" w:w="3118"/>
          </w:tcPr>
          <w:p>
            <w:r>
              <w:rPr>
                <w:rFonts w:ascii="Times New Roman" w:hAnsi="Times New Roman" w:eastAsia="Times New Roman"/>
                <w:b w:val="0"/>
                <w:i w:val="0"/>
                <w:sz w:val="18"/>
              </w:rPr>
              <w:t>IČO</w:t>
            </w:r>
          </w:p>
        </w:tc>
        <w:tc>
          <w:tcPr>
            <w:tcW w:type="dxa" w:w="5669"/>
          </w:tcPr>
          <w:p>
            <w:r>
              <w:rPr>
                <w:rFonts w:ascii="Times New Roman" w:hAnsi="Times New Roman" w:eastAsia="Times New Roman"/>
                <w:b w:val="0"/>
                <w:i w:val="0"/>
                <w:sz w:val="18"/>
              </w:rPr>
              <w:t>[doplnit]</w:t>
            </w:r>
          </w:p>
        </w:tc>
      </w:tr>
      <w:tr>
        <w:tc>
          <w:tcPr>
            <w:tcW w:type="dxa" w:w="3118"/>
          </w:tcPr>
          <w:p>
            <w:r>
              <w:rPr>
                <w:rFonts w:ascii="Times New Roman" w:hAnsi="Times New Roman" w:eastAsia="Times New Roman"/>
                <w:b w:val="0"/>
                <w:i w:val="0"/>
                <w:sz w:val="18"/>
              </w:rPr>
              <w:t>Sídlo / místo podnikání</w:t>
            </w:r>
          </w:p>
        </w:tc>
        <w:tc>
          <w:tcPr>
            <w:tcW w:type="dxa" w:w="5669"/>
          </w:tcPr>
          <w:p>
            <w:r>
              <w:rPr>
                <w:rFonts w:ascii="Times New Roman" w:hAnsi="Times New Roman" w:eastAsia="Times New Roman"/>
                <w:b w:val="0"/>
                <w:i w:val="0"/>
                <w:sz w:val="18"/>
              </w:rPr>
              <w:t>[doplnit]</w:t>
            </w:r>
          </w:p>
        </w:tc>
      </w:tr>
      <w:tr>
        <w:tc>
          <w:tcPr>
            <w:tcW w:type="dxa" w:w="3118"/>
          </w:tcPr>
          <w:p>
            <w:r>
              <w:rPr>
                <w:rFonts w:ascii="Times New Roman" w:hAnsi="Times New Roman" w:eastAsia="Times New Roman"/>
                <w:b w:val="0"/>
                <w:i w:val="0"/>
                <w:sz w:val="18"/>
              </w:rPr>
              <w:t>Živnostenské oprávnění</w:t>
            </w:r>
          </w:p>
        </w:tc>
        <w:tc>
          <w:tcPr>
            <w:tcW w:type="dxa" w:w="5669"/>
          </w:tcPr>
          <w:p>
            <w:r>
              <w:rPr>
                <w:rFonts w:ascii="Times New Roman" w:hAnsi="Times New Roman" w:eastAsia="Times New Roman"/>
                <w:b w:val="0"/>
                <w:i w:val="0"/>
                <w:sz w:val="18"/>
              </w:rPr>
              <w:t>Činnost účetních poradců, vedení účetnictví, vedení daňové evidence – ověřeno v živnostenském rejstříku dne [doplnit]</w:t>
            </w:r>
          </w:p>
        </w:tc>
      </w:tr>
      <w:tr>
        <w:tc>
          <w:tcPr>
            <w:tcW w:type="dxa" w:w="3118"/>
          </w:tcPr>
          <w:p>
            <w:r>
              <w:rPr>
                <w:rFonts w:ascii="Times New Roman" w:hAnsi="Times New Roman" w:eastAsia="Times New Roman"/>
                <w:b w:val="0"/>
                <w:i w:val="0"/>
                <w:sz w:val="18"/>
              </w:rPr>
              <w:t>Pojištění profesní odpovědnosti</w:t>
            </w:r>
          </w:p>
        </w:tc>
        <w:tc>
          <w:tcPr>
            <w:tcW w:type="dxa" w:w="5669"/>
          </w:tcPr>
          <w:p>
            <w:r>
              <w:rPr>
                <w:rFonts w:ascii="Times New Roman" w:hAnsi="Times New Roman" w:eastAsia="Times New Roman"/>
                <w:b w:val="0"/>
                <w:i w:val="0"/>
                <w:sz w:val="18"/>
              </w:rPr>
              <w:t>pojistitel [doplnit], č. pojistné smlouvy [doplnit], limit [doplnit] Kč</w:t>
            </w:r>
          </w:p>
        </w:tc>
      </w:tr>
      <w:tr>
        <w:tc>
          <w:tcPr>
            <w:tcW w:type="dxa" w:w="3118"/>
          </w:tcPr>
          <w:p>
            <w:r>
              <w:rPr>
                <w:rFonts w:ascii="Times New Roman" w:hAnsi="Times New Roman" w:eastAsia="Times New Roman"/>
                <w:b w:val="0"/>
                <w:i w:val="0"/>
                <w:sz w:val="18"/>
              </w:rPr>
              <w:t>Kontakt pro Výbor</w:t>
            </w:r>
          </w:p>
        </w:tc>
        <w:tc>
          <w:tcPr>
            <w:tcW w:type="dxa" w:w="5669"/>
          </w:tcPr>
          <w:p>
            <w:r>
              <w:rPr>
                <w:rFonts w:ascii="Times New Roman" w:hAnsi="Times New Roman" w:eastAsia="Times New Roman"/>
                <w:b w:val="0"/>
                <w:i w:val="0"/>
                <w:sz w:val="18"/>
              </w:rPr>
              <w:t>[doplnit] (komunikace standardně přes Poskytovatele)</w:t>
            </w:r>
          </w:p>
        </w:tc>
      </w:tr>
      <w:tr>
        <w:tc>
          <w:tcPr>
            <w:tcW w:type="dxa" w:w="3118"/>
          </w:tcPr>
          <w:p>
            <w:r>
              <w:rPr>
                <w:rFonts w:ascii="Times New Roman" w:hAnsi="Times New Roman" w:eastAsia="Times New Roman"/>
                <w:b w:val="0"/>
                <w:i w:val="0"/>
                <w:sz w:val="18"/>
              </w:rPr>
              <w:t>Účinnost zapojení od</w:t>
            </w:r>
          </w:p>
        </w:tc>
        <w:tc>
          <w:tcPr>
            <w:tcW w:type="dxa" w:w="5669"/>
          </w:tcPr>
          <w:p>
            <w:r>
              <w:rPr>
                <w:rFonts w:ascii="Times New Roman" w:hAnsi="Times New Roman" w:eastAsia="Times New Roman"/>
                <w:b w:val="0"/>
                <w:i w:val="0"/>
                <w:sz w:val="18"/>
              </w:rPr>
              <w:t>[doplnit]</w:t>
            </w:r>
          </w:p>
        </w:tc>
      </w:tr>
    </w:tbl>
    <w:p/>
    <w:p>
      <w:pPr>
        <w:spacing w:after="80" w:before="0" w:line="276" w:lineRule="auto"/>
        <w:jc w:val="both"/>
      </w:pPr>
      <w:r>
        <w:rPr>
          <w:rFonts w:ascii="Times New Roman" w:hAnsi="Times New Roman" w:eastAsia="Times New Roman"/>
          <w:b w:val="0"/>
          <w:i/>
          <w:sz w:val="18"/>
        </w:rPr>
        <w:t>Upozornění: Tento dokument je vzor připravený pro potřeby Profi Správce SVJ. Nejde o právní službu a nenahrazuje individuální právní poradenství. Před použitím doporučujeme nechat text zkontrolovat advokátem, zejména s ohledem na stanovy konkrétního SVJ, aktuální znění právních předpisů a konkrétní obchodní model.</w:t>
      </w:r>
    </w:p>
    <w:sectPr w:rsidR="00FC693F" w:rsidRPr="0006063C" w:rsidSect="00034616">
      <w:headerReference w:type="default" r:id="rId9"/>
      <w:footerReference w:type="default" r:id="rId10"/>
      <w:pgSz w:w="11906" w:h="16838"/>
      <w:pgMar w:top="1247" w:right="1134" w:bottom="1247" w:left="141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6" w:space="4" w:color="888888"/>
      </w:pBdr>
    </w:pPr>
    <w:r>
      <w:rPr>
        <w:rFonts w:ascii="Times New Roman" w:hAnsi="Times New Roman" w:eastAsia="Times New Roman"/>
        <w:b w:val="0"/>
        <w:i w:val="0"/>
        <w:sz w:val="16"/>
      </w:rPr>
      <w:t xml:space="preserve">Strana </w:t>
    </w:r>
    <w:r>
      <w:rPr>
        <w:rFonts w:ascii="Times New Roman" w:hAnsi="Times New Roman" w:eastAsia="Times New Roman"/>
        <w:b w:val="0"/>
        <w:i w:val="0"/>
        <w:sz w:val="16"/>
      </w:rPr>
      <w:fldChar w:fldCharType="begin"/>
    </w:r>
    <w:r>
      <w:rPr>
        <w:rFonts w:ascii="Times New Roman" w:hAnsi="Times New Roman" w:eastAsia="Times New Roman"/>
        <w:b w:val="0"/>
        <w:i w:val="0"/>
        <w:sz w:val="16"/>
      </w:rPr>
      <w:instrText xml:space="preserve"> PAGE </w:instrText>
    </w:r>
    <w:r>
      <w:rPr>
        <w:rFonts w:ascii="Times New Roman" w:hAnsi="Times New Roman" w:eastAsia="Times New Roman"/>
        <w:b w:val="0"/>
        <w:i w:val="0"/>
        <w:sz w:val="16"/>
      </w:rPr>
      <w:fldChar w:fldCharType="end"/>
    </w:r>
    <w:r>
      <w:rPr>
        <w:rFonts w:ascii="Times New Roman" w:hAnsi="Times New Roman" w:eastAsia="Times New Roman"/>
        <w:b w:val="0"/>
        <w:i w:val="0"/>
        <w:sz w:val="16"/>
      </w:rPr>
      <w:t xml:space="preserve"> / </w:t>
    </w:r>
    <w:r>
      <w:rPr>
        <w:rFonts w:ascii="Times New Roman" w:hAnsi="Times New Roman" w:eastAsia="Times New Roman"/>
        <w:b w:val="0"/>
        <w:i w:val="0"/>
        <w:sz w:val="16"/>
      </w:rPr>
      <w:fldChar w:fldCharType="begin"/>
    </w:r>
    <w:r>
      <w:rPr>
        <w:rFonts w:ascii="Times New Roman" w:hAnsi="Times New Roman" w:eastAsia="Times New Roman"/>
        <w:b w:val="0"/>
        <w:i w:val="0"/>
        <w:sz w:val="16"/>
      </w:rPr>
      <w:instrText xml:space="preserve"> NUMPAGES </w:instrText>
    </w:r>
    <w:r>
      <w:rPr>
        <w:rFonts w:ascii="Times New Roman" w:hAnsi="Times New Roman" w:eastAsia="Times New Roman"/>
        <w:b w:val="0"/>
        <w:i w:val="0"/>
        <w:sz w:val="16"/>
      </w:rPr>
      <w:fldChar w:fldCharType="end"/>
    </w:r>
    <w:r>
      <w:rPr>
        <w:rFonts w:ascii="Times New Roman" w:hAnsi="Times New Roman" w:eastAsia="Times New Roman"/>
        <w:b w:val="0"/>
        <w:i/>
        <w:color w:val="666666"/>
        <w:sz w:val="14"/>
      </w:rPr>
      <w:t xml:space="preserve">  |  Vzor – před použitím doporučena kontrola advokátem.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6" w:space="4" w:color="888888"/>
      </w:pBdr>
    </w:pPr>
    <w:r>
      <w:rPr>
        <w:rFonts w:ascii="Times New Roman" w:hAnsi="Times New Roman" w:eastAsia="Times New Roman"/>
        <w:b w:val="0"/>
        <w:i/>
        <w:color w:val="555555"/>
        <w:sz w:val="16"/>
      </w:rPr>
      <w:t>Klauzule do smlouvy o správě SVJ | Profi Správce SVJ – Bc. Martin Pohl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