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INFORMACE O ZPRACOVÁNÍ OSOBNÍCH ÚDAJŮ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pro vlastníky jednotek a další dotčené osoby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Správce údajů (SVJ – název, IČO, sídlo, kontakt):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Pověřenec / kontaktní osoba (je-li):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1. Jaké údaje a proč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Identifikační a kontaktní údaje vlastníků, údaje o jednotce a podílech – správa domu a pozemku, plnění zákonných povinností.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Účetní a platební údaje – předpisy, vyúčtování, pohledávky.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Údaje z kamer / přístupových systémů – pouze jsou-li zavedeny a řádně informovány.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2. Právní základy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Plnění právní povinnosti a oprávněné zájmy správy domu; souhlas jen tam, kde je skutečně potřeba (např. nadbytečné zveřejnění kontaktu).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3. Příjemci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Externí správce, účetní, dodavatelé energií a služeb, pojišťovna, orgány veřejné moci – vždy v nezbytném rozsahu a na základě smlouvy / zákona.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4. Doba uložení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Po dobu členství a dále po dobu archivačních a promlčecích lhůt (zejm. účetní a spolkové dokumenty).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5. Práva subjektů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Přístup, oprava, omezení, námitka, stížnost u ÚOOÚ. Žádosti zasílejte na kontakt správce.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V _______________ dne _______________  Za SVJ: 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Informace o zpracování OÚ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